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AE" w:rsidRPr="001900FD" w:rsidRDefault="00610CAE" w:rsidP="00B95C52">
      <w:pPr>
        <w:jc w:val="center"/>
        <w:rPr>
          <w:b/>
          <w:bCs/>
          <w:sz w:val="32"/>
          <w:szCs w:val="32"/>
          <w:lang w:val="ro-RO"/>
        </w:rPr>
      </w:pPr>
    </w:p>
    <w:p w:rsidR="00D629DB" w:rsidRPr="001900FD" w:rsidRDefault="00D629DB" w:rsidP="00B95C52">
      <w:pPr>
        <w:jc w:val="center"/>
        <w:rPr>
          <w:b/>
          <w:bCs/>
          <w:sz w:val="32"/>
          <w:szCs w:val="32"/>
          <w:lang w:val="ro-RO"/>
        </w:rPr>
      </w:pPr>
    </w:p>
    <w:p w:rsidR="00D629DB" w:rsidRPr="001900FD" w:rsidRDefault="00D629DB" w:rsidP="00B95C52">
      <w:pPr>
        <w:jc w:val="center"/>
        <w:rPr>
          <w:b/>
          <w:bCs/>
          <w:sz w:val="32"/>
          <w:szCs w:val="32"/>
          <w:lang w:val="ro-RO"/>
        </w:rPr>
      </w:pPr>
    </w:p>
    <w:p w:rsidR="00D629DB" w:rsidRPr="001900FD" w:rsidRDefault="00D629DB" w:rsidP="00B95C52">
      <w:pPr>
        <w:jc w:val="center"/>
        <w:rPr>
          <w:b/>
          <w:bCs/>
          <w:sz w:val="32"/>
          <w:szCs w:val="32"/>
          <w:lang w:val="ro-RO"/>
        </w:rPr>
      </w:pPr>
    </w:p>
    <w:p w:rsidR="00610CAE" w:rsidRPr="001900FD" w:rsidRDefault="00610CAE" w:rsidP="00B95C52">
      <w:pPr>
        <w:jc w:val="center"/>
        <w:rPr>
          <w:b/>
          <w:bCs/>
          <w:sz w:val="32"/>
          <w:szCs w:val="32"/>
          <w:lang w:val="ro-RO"/>
        </w:rPr>
      </w:pPr>
      <w:r w:rsidRPr="001900FD">
        <w:rPr>
          <w:b/>
          <w:bCs/>
          <w:sz w:val="32"/>
          <w:szCs w:val="32"/>
          <w:lang w:val="ro-RO"/>
        </w:rPr>
        <w:t>MINISTERUL EDUCAŢIEI</w:t>
      </w:r>
      <w:r w:rsidR="00B95C52" w:rsidRPr="001900FD">
        <w:rPr>
          <w:b/>
          <w:bCs/>
          <w:sz w:val="32"/>
          <w:szCs w:val="32"/>
          <w:lang w:val="ro-RO"/>
        </w:rPr>
        <w:t xml:space="preserve"> SI</w:t>
      </w:r>
      <w:r w:rsidRPr="001900FD">
        <w:rPr>
          <w:b/>
          <w:bCs/>
          <w:sz w:val="32"/>
          <w:szCs w:val="32"/>
          <w:lang w:val="ro-RO"/>
        </w:rPr>
        <w:t xml:space="preserve"> CERCETĂRII</w:t>
      </w:r>
    </w:p>
    <w:p w:rsidR="00610CAE" w:rsidRPr="001900FD" w:rsidRDefault="00610CAE" w:rsidP="00B95C52">
      <w:pPr>
        <w:jc w:val="center"/>
        <w:rPr>
          <w:b/>
          <w:bCs/>
          <w:sz w:val="32"/>
          <w:szCs w:val="32"/>
          <w:lang w:val="ro-RO"/>
        </w:rPr>
      </w:pPr>
      <w:r w:rsidRPr="001900FD">
        <w:rPr>
          <w:b/>
          <w:bCs/>
          <w:sz w:val="32"/>
          <w:szCs w:val="32"/>
          <w:lang w:val="ro-RO"/>
        </w:rPr>
        <w:t>UNIVERSITATEA POLITEHNICA DIN BUCUREŞTI</w:t>
      </w: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B95C52">
      <w:pPr>
        <w:jc w:val="both"/>
        <w:rPr>
          <w:b/>
          <w:bCs/>
          <w:sz w:val="24"/>
          <w:szCs w:val="24"/>
          <w:lang w:val="ro-RO"/>
        </w:rPr>
      </w:pPr>
    </w:p>
    <w:p w:rsidR="00B95C52" w:rsidRPr="001900FD" w:rsidRDefault="00610CAE" w:rsidP="0057259C">
      <w:pPr>
        <w:jc w:val="center"/>
        <w:rPr>
          <w:b/>
          <w:bCs/>
          <w:sz w:val="24"/>
          <w:szCs w:val="24"/>
          <w:lang w:val="ro-RO"/>
        </w:rPr>
      </w:pPr>
      <w:r w:rsidRPr="001900FD">
        <w:rPr>
          <w:b/>
          <w:bCs/>
          <w:sz w:val="24"/>
          <w:szCs w:val="24"/>
          <w:lang w:val="ro-RO"/>
        </w:rPr>
        <w:t>REGULAMENT</w:t>
      </w:r>
    </w:p>
    <w:p w:rsidR="00610CAE" w:rsidRPr="001900FD" w:rsidRDefault="00610CAE" w:rsidP="0057259C">
      <w:pPr>
        <w:jc w:val="center"/>
        <w:rPr>
          <w:b/>
          <w:bCs/>
          <w:sz w:val="24"/>
          <w:szCs w:val="24"/>
          <w:lang w:val="ro-RO"/>
        </w:rPr>
      </w:pPr>
      <w:r w:rsidRPr="001900FD">
        <w:rPr>
          <w:b/>
          <w:bCs/>
          <w:sz w:val="24"/>
          <w:szCs w:val="24"/>
          <w:lang w:val="ro-RO"/>
        </w:rPr>
        <w:t xml:space="preserve">de </w:t>
      </w:r>
      <w:r w:rsidR="00987D74" w:rsidRPr="001900FD">
        <w:rPr>
          <w:b/>
          <w:bCs/>
          <w:sz w:val="24"/>
          <w:szCs w:val="24"/>
          <w:lang w:val="ro-RO"/>
        </w:rPr>
        <w:t>recunoaștere</w:t>
      </w:r>
      <w:r w:rsidRPr="001900FD">
        <w:rPr>
          <w:b/>
          <w:bCs/>
          <w:sz w:val="24"/>
          <w:szCs w:val="24"/>
          <w:lang w:val="ro-RO"/>
        </w:rPr>
        <w:t xml:space="preserve"> a perioadelor de studii efectuate </w:t>
      </w:r>
      <w:r w:rsidR="00E25975" w:rsidRPr="001900FD">
        <w:rPr>
          <w:b/>
          <w:bCs/>
          <w:sz w:val="24"/>
          <w:szCs w:val="24"/>
          <w:lang w:val="ro-RO"/>
        </w:rPr>
        <w:t>în</w:t>
      </w:r>
      <w:r w:rsidRPr="001900FD">
        <w:rPr>
          <w:b/>
          <w:bCs/>
          <w:sz w:val="24"/>
          <w:szCs w:val="24"/>
          <w:lang w:val="ro-RO"/>
        </w:rPr>
        <w:t>străinătate</w:t>
      </w:r>
    </w:p>
    <w:p w:rsidR="00610CAE" w:rsidRPr="001900FD" w:rsidRDefault="00610CAE" w:rsidP="0057259C">
      <w:pPr>
        <w:jc w:val="cente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57259C">
      <w:pPr>
        <w:jc w:val="center"/>
        <w:rPr>
          <w:b/>
          <w:bCs/>
          <w:lang w:val="ro-RO"/>
        </w:rPr>
      </w:pPr>
      <w:r w:rsidRPr="001900FD">
        <w:rPr>
          <w:b/>
          <w:bCs/>
          <w:lang w:val="ro-RO"/>
        </w:rPr>
        <w:t>Bucureşti 2020</w:t>
      </w: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b/>
          <w:bCs/>
          <w:sz w:val="24"/>
          <w:szCs w:val="24"/>
          <w:lang w:val="ro-RO"/>
        </w:rPr>
      </w:pPr>
    </w:p>
    <w:p w:rsidR="00DB604D" w:rsidRPr="001900FD" w:rsidRDefault="00DB604D" w:rsidP="00610CAE">
      <w:pPr>
        <w:rPr>
          <w:b/>
          <w:bCs/>
          <w:sz w:val="24"/>
          <w:szCs w:val="24"/>
          <w:lang w:val="ro-RO"/>
        </w:rPr>
      </w:pPr>
    </w:p>
    <w:p w:rsidR="00DB604D" w:rsidRPr="001900FD" w:rsidRDefault="00DB604D" w:rsidP="00610CAE">
      <w:pPr>
        <w:rPr>
          <w:b/>
          <w:bCs/>
          <w:sz w:val="24"/>
          <w:szCs w:val="24"/>
          <w:lang w:val="ro-RO"/>
        </w:rPr>
      </w:pPr>
    </w:p>
    <w:p w:rsidR="00DB604D" w:rsidRPr="001900FD" w:rsidRDefault="00DB604D" w:rsidP="00610CAE">
      <w:pPr>
        <w:rPr>
          <w:b/>
          <w:bCs/>
          <w:sz w:val="24"/>
          <w:szCs w:val="24"/>
          <w:lang w:val="ro-RO"/>
        </w:rPr>
      </w:pPr>
    </w:p>
    <w:p w:rsidR="00610CAE" w:rsidRPr="001900FD" w:rsidRDefault="00610CAE" w:rsidP="00281B38">
      <w:pPr>
        <w:jc w:val="center"/>
        <w:rPr>
          <w:b/>
          <w:bCs/>
          <w:sz w:val="24"/>
          <w:szCs w:val="24"/>
          <w:lang w:val="ro-RO"/>
        </w:rPr>
      </w:pPr>
      <w:r w:rsidRPr="001900FD">
        <w:rPr>
          <w:b/>
          <w:bCs/>
          <w:sz w:val="24"/>
          <w:szCs w:val="24"/>
          <w:lang w:val="ro-RO"/>
        </w:rPr>
        <w:t>CUPRINS</w:t>
      </w:r>
    </w:p>
    <w:p w:rsidR="00610CAE" w:rsidRPr="001900FD" w:rsidRDefault="00610CAE" w:rsidP="00610CAE">
      <w:pPr>
        <w:rPr>
          <w:b/>
          <w:bCs/>
          <w:sz w:val="24"/>
          <w:szCs w:val="24"/>
          <w:lang w:val="ro-RO"/>
        </w:rPr>
      </w:pPr>
    </w:p>
    <w:p w:rsidR="00610CAE" w:rsidRPr="001900FD" w:rsidRDefault="00610CAE" w:rsidP="00610CAE">
      <w:pPr>
        <w:rPr>
          <w:b/>
          <w:bCs/>
          <w:sz w:val="24"/>
          <w:szCs w:val="24"/>
          <w:lang w:val="ro-RO"/>
        </w:rPr>
      </w:pPr>
    </w:p>
    <w:p w:rsidR="00DB604D" w:rsidRPr="001900FD" w:rsidRDefault="00DB604D" w:rsidP="00610CAE">
      <w:pPr>
        <w:rPr>
          <w:b/>
          <w:bCs/>
          <w:sz w:val="24"/>
          <w:szCs w:val="24"/>
          <w:lang w:val="ro-RO"/>
        </w:rPr>
      </w:pPr>
    </w:p>
    <w:p w:rsidR="00DB604D" w:rsidRPr="001900FD" w:rsidRDefault="00DB604D" w:rsidP="00610CAE">
      <w:pPr>
        <w:rPr>
          <w:b/>
          <w:bCs/>
          <w:sz w:val="24"/>
          <w:szCs w:val="24"/>
          <w:lang w:val="ro-RO"/>
        </w:rPr>
      </w:pPr>
    </w:p>
    <w:p w:rsidR="00610CAE" w:rsidRPr="001900FD" w:rsidRDefault="00610CAE" w:rsidP="00610CAE">
      <w:pPr>
        <w:rPr>
          <w:sz w:val="24"/>
          <w:szCs w:val="24"/>
          <w:lang w:val="ro-RO"/>
        </w:rPr>
      </w:pPr>
    </w:p>
    <w:p w:rsidR="00610CAE" w:rsidRPr="001900FD" w:rsidRDefault="00610CAE" w:rsidP="00A46A7D">
      <w:pPr>
        <w:pStyle w:val="ListParagraph"/>
        <w:numPr>
          <w:ilvl w:val="0"/>
          <w:numId w:val="11"/>
        </w:numPr>
        <w:ind w:left="426" w:hanging="426"/>
        <w:jc w:val="right"/>
        <w:rPr>
          <w:sz w:val="24"/>
          <w:szCs w:val="24"/>
          <w:lang w:val="ro-RO"/>
        </w:rPr>
      </w:pPr>
      <w:r w:rsidRPr="001900FD">
        <w:rPr>
          <w:sz w:val="24"/>
          <w:szCs w:val="24"/>
          <w:lang w:val="ro-RO"/>
        </w:rPr>
        <w:t>CONSIDERAŢII GENERALE</w:t>
      </w:r>
      <w:r w:rsidRPr="001900FD">
        <w:rPr>
          <w:sz w:val="24"/>
          <w:szCs w:val="24"/>
          <w:lang w:val="ro-RO"/>
        </w:rPr>
        <w:tab/>
      </w:r>
      <w:r w:rsidR="00A46A7D" w:rsidRPr="001900FD">
        <w:rPr>
          <w:sz w:val="24"/>
          <w:szCs w:val="24"/>
          <w:lang w:val="ro-RO"/>
        </w:rPr>
        <w:t xml:space="preserve"> .............................................................................</w:t>
      </w:r>
      <w:r w:rsidR="00590EC0" w:rsidRPr="001900FD">
        <w:rPr>
          <w:sz w:val="24"/>
          <w:szCs w:val="24"/>
          <w:lang w:val="ro-RO"/>
        </w:rPr>
        <w:t>pag.1</w:t>
      </w:r>
    </w:p>
    <w:p w:rsidR="00610CAE" w:rsidRPr="001900FD" w:rsidRDefault="00610CAE" w:rsidP="00590EC0">
      <w:pPr>
        <w:jc w:val="both"/>
        <w:rPr>
          <w:sz w:val="24"/>
          <w:szCs w:val="24"/>
          <w:lang w:val="ro-RO"/>
        </w:rPr>
      </w:pPr>
    </w:p>
    <w:p w:rsidR="00987D74" w:rsidRPr="001900FD" w:rsidRDefault="00610CAE" w:rsidP="00590EC0">
      <w:pPr>
        <w:pStyle w:val="ListParagraph"/>
        <w:numPr>
          <w:ilvl w:val="0"/>
          <w:numId w:val="11"/>
        </w:numPr>
        <w:ind w:left="426" w:hanging="426"/>
        <w:jc w:val="both"/>
        <w:rPr>
          <w:sz w:val="24"/>
          <w:szCs w:val="24"/>
          <w:lang w:val="ro-RO"/>
        </w:rPr>
      </w:pPr>
      <w:r w:rsidRPr="001900FD">
        <w:rPr>
          <w:sz w:val="24"/>
          <w:szCs w:val="24"/>
          <w:lang w:val="ro-RO"/>
        </w:rPr>
        <w:t>RECUNOAŞTEREAPERIOADELOR DE STUDII EFECTUATE ÎN CADRUL MOBILITĂŢILOR REGLEMENTATE</w:t>
      </w:r>
      <w:r w:rsidR="00A46A7D" w:rsidRPr="001900FD">
        <w:rPr>
          <w:sz w:val="24"/>
          <w:szCs w:val="24"/>
          <w:lang w:val="ro-RO"/>
        </w:rPr>
        <w:t>.........................................</w:t>
      </w:r>
      <w:r w:rsidR="00B6428E" w:rsidRPr="001900FD">
        <w:rPr>
          <w:sz w:val="24"/>
          <w:szCs w:val="24"/>
          <w:lang w:val="ro-RO"/>
        </w:rPr>
        <w:t>.........................</w:t>
      </w:r>
      <w:r w:rsidR="00590EC0" w:rsidRPr="001900FD">
        <w:rPr>
          <w:sz w:val="24"/>
          <w:szCs w:val="24"/>
          <w:lang w:val="ro-RO"/>
        </w:rPr>
        <w:t xml:space="preserve"> pag.2</w:t>
      </w:r>
      <w:r w:rsidRPr="001900FD">
        <w:rPr>
          <w:sz w:val="24"/>
          <w:szCs w:val="24"/>
          <w:lang w:val="ro-RO"/>
        </w:rPr>
        <w:tab/>
      </w:r>
    </w:p>
    <w:p w:rsidR="00FD459B" w:rsidRPr="001900FD" w:rsidRDefault="00987D74" w:rsidP="00590EC0">
      <w:pPr>
        <w:pStyle w:val="ListParagraph"/>
        <w:numPr>
          <w:ilvl w:val="0"/>
          <w:numId w:val="11"/>
        </w:numPr>
        <w:ind w:left="426" w:hanging="426"/>
        <w:jc w:val="both"/>
        <w:rPr>
          <w:sz w:val="24"/>
          <w:szCs w:val="24"/>
          <w:lang w:val="ro-RO"/>
        </w:rPr>
      </w:pPr>
      <w:r w:rsidRPr="001900FD">
        <w:rPr>
          <w:sz w:val="24"/>
          <w:szCs w:val="24"/>
          <w:lang w:val="ro-RO"/>
        </w:rPr>
        <w:t>RECUNOAŞTEREA PERIOADELOR DE STUDII EFECTUATE ÎN CADRUL MOBILITĂŢILOR NEREGLEMENTATE</w:t>
      </w:r>
      <w:r w:rsidR="00B6428E" w:rsidRPr="001900FD">
        <w:rPr>
          <w:sz w:val="24"/>
          <w:szCs w:val="24"/>
          <w:lang w:val="ro-RO"/>
        </w:rPr>
        <w:t>..............................................................</w:t>
      </w:r>
      <w:r w:rsidR="00590EC0" w:rsidRPr="001900FD">
        <w:rPr>
          <w:sz w:val="24"/>
          <w:szCs w:val="24"/>
          <w:lang w:val="ro-RO"/>
        </w:rPr>
        <w:t>pag.4</w:t>
      </w:r>
    </w:p>
    <w:p w:rsidR="00590EC0" w:rsidRPr="001900FD" w:rsidRDefault="00590EC0" w:rsidP="00590EC0">
      <w:pPr>
        <w:pStyle w:val="ListParagraph"/>
        <w:ind w:left="426"/>
        <w:jc w:val="both"/>
        <w:rPr>
          <w:sz w:val="24"/>
          <w:szCs w:val="24"/>
          <w:lang w:val="ro-RO"/>
        </w:rPr>
      </w:pPr>
    </w:p>
    <w:p w:rsidR="00FD459B" w:rsidRPr="001900FD" w:rsidRDefault="00FD459B" w:rsidP="00B6428E">
      <w:pPr>
        <w:pStyle w:val="ListParagraph"/>
        <w:numPr>
          <w:ilvl w:val="0"/>
          <w:numId w:val="11"/>
        </w:numPr>
        <w:ind w:left="426" w:hanging="426"/>
        <w:jc w:val="both"/>
        <w:rPr>
          <w:sz w:val="24"/>
          <w:szCs w:val="24"/>
          <w:lang w:val="ro-RO"/>
        </w:rPr>
      </w:pPr>
      <w:r w:rsidRPr="001900FD">
        <w:rPr>
          <w:sz w:val="24"/>
          <w:szCs w:val="24"/>
          <w:lang w:val="ro-RO"/>
        </w:rPr>
        <w:t>RECUNOAŞTEREA PERIOAD</w:t>
      </w:r>
      <w:r w:rsidR="00B6428E" w:rsidRPr="001900FD">
        <w:rPr>
          <w:sz w:val="24"/>
          <w:szCs w:val="24"/>
          <w:lang w:val="ro-RO"/>
        </w:rPr>
        <w:t xml:space="preserve">ELOR DE STUDII SAU DE PLASAMENT </w:t>
      </w:r>
      <w:r w:rsidRPr="001900FD">
        <w:rPr>
          <w:sz w:val="24"/>
          <w:szCs w:val="24"/>
          <w:lang w:val="ro-RO"/>
        </w:rPr>
        <w:t>EFECTUATE ÎN CADRUL MOBILITĂŢILOR ERASMUS</w:t>
      </w:r>
      <w:r w:rsidR="00B6428E" w:rsidRPr="001900FD">
        <w:rPr>
          <w:sz w:val="24"/>
          <w:szCs w:val="24"/>
          <w:lang w:val="ro-RO"/>
        </w:rPr>
        <w:t>...........................</w:t>
      </w:r>
      <w:r w:rsidR="00590EC0" w:rsidRPr="001900FD">
        <w:rPr>
          <w:sz w:val="24"/>
          <w:szCs w:val="24"/>
          <w:lang w:val="ro-RO"/>
        </w:rPr>
        <w:t>.......pag.10</w:t>
      </w:r>
    </w:p>
    <w:p w:rsidR="00610CAE" w:rsidRPr="001900FD" w:rsidRDefault="00610CAE" w:rsidP="00B6428E">
      <w:pPr>
        <w:jc w:val="both"/>
        <w:rPr>
          <w:b/>
          <w:bCs/>
          <w:sz w:val="24"/>
          <w:szCs w:val="24"/>
          <w:lang w:val="ro-RO"/>
        </w:rPr>
      </w:pPr>
    </w:p>
    <w:p w:rsidR="00610CAE" w:rsidRPr="001900FD" w:rsidRDefault="00610CAE" w:rsidP="00610CAE">
      <w:pPr>
        <w:rPr>
          <w:lang w:val="ro-RO"/>
        </w:rPr>
      </w:pPr>
    </w:p>
    <w:p w:rsidR="00610CAE" w:rsidRPr="001900FD" w:rsidRDefault="00610CAE" w:rsidP="00610CAE">
      <w:pPr>
        <w:rPr>
          <w:sz w:val="24"/>
          <w:szCs w:val="24"/>
          <w:lang w:val="ro-RO"/>
        </w:rPr>
      </w:pPr>
    </w:p>
    <w:p w:rsidR="00610CAE" w:rsidRPr="001900FD" w:rsidRDefault="00AE7170" w:rsidP="00610CAE">
      <w:pPr>
        <w:rPr>
          <w:sz w:val="24"/>
          <w:szCs w:val="24"/>
          <w:lang w:val="ro-RO"/>
        </w:rPr>
      </w:pPr>
      <w:r w:rsidRPr="001900FD">
        <w:rPr>
          <w:sz w:val="24"/>
          <w:szCs w:val="24"/>
          <w:lang w:val="ro-RO"/>
        </w:rPr>
        <w:t xml:space="preserve">Anexa </w:t>
      </w:r>
      <w:r w:rsidR="00026233" w:rsidRPr="001900FD">
        <w:rPr>
          <w:sz w:val="24"/>
          <w:szCs w:val="24"/>
          <w:lang w:val="ro-RO"/>
        </w:rPr>
        <w:t>1</w:t>
      </w:r>
      <w:r w:rsidRPr="001900FD">
        <w:rPr>
          <w:sz w:val="24"/>
          <w:szCs w:val="24"/>
          <w:lang w:val="ro-RO"/>
        </w:rPr>
        <w:t>.........................................................................................................</w:t>
      </w:r>
      <w:r w:rsidR="001900FD" w:rsidRPr="001900FD">
        <w:rPr>
          <w:sz w:val="24"/>
          <w:szCs w:val="24"/>
          <w:lang w:val="ro-RO"/>
        </w:rPr>
        <w:t>.</w:t>
      </w:r>
      <w:r w:rsidRPr="001900FD">
        <w:rPr>
          <w:sz w:val="24"/>
          <w:szCs w:val="24"/>
          <w:lang w:val="ro-RO"/>
        </w:rPr>
        <w:t>..........pag.14</w:t>
      </w: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610CAE" w:rsidRPr="001900FD" w:rsidRDefault="00610CAE" w:rsidP="00610CAE">
      <w:pPr>
        <w:rPr>
          <w:lang w:val="ro-RO"/>
        </w:rPr>
      </w:pPr>
    </w:p>
    <w:p w:rsidR="009F1A30" w:rsidRPr="001900FD" w:rsidRDefault="009F1A30" w:rsidP="00590EC0">
      <w:pPr>
        <w:pStyle w:val="ListParagraph"/>
        <w:ind w:left="1080"/>
        <w:rPr>
          <w:b/>
          <w:bCs/>
          <w:sz w:val="24"/>
          <w:szCs w:val="24"/>
          <w:lang w:val="ro-RO"/>
        </w:rPr>
        <w:sectPr w:rsidR="009F1A30" w:rsidRPr="001900FD" w:rsidSect="00D629DB">
          <w:headerReference w:type="default" r:id="rId8"/>
          <w:footerReference w:type="default" r:id="rId9"/>
          <w:pgSz w:w="12240" w:h="15840"/>
          <w:pgMar w:top="1440" w:right="1440" w:bottom="1440" w:left="1418" w:header="284" w:footer="708" w:gutter="0"/>
          <w:cols w:space="708"/>
          <w:docGrid w:linePitch="360"/>
        </w:sectPr>
      </w:pPr>
    </w:p>
    <w:p w:rsidR="00610CAE" w:rsidRPr="001900FD" w:rsidRDefault="00610CAE" w:rsidP="00590EC0">
      <w:pPr>
        <w:pStyle w:val="ListParagraph"/>
        <w:numPr>
          <w:ilvl w:val="0"/>
          <w:numId w:val="12"/>
        </w:numPr>
        <w:jc w:val="center"/>
        <w:rPr>
          <w:b/>
          <w:bCs/>
          <w:sz w:val="24"/>
          <w:szCs w:val="24"/>
          <w:lang w:val="ro-RO"/>
        </w:rPr>
      </w:pPr>
      <w:r w:rsidRPr="001900FD">
        <w:rPr>
          <w:b/>
          <w:bCs/>
          <w:sz w:val="24"/>
          <w:szCs w:val="24"/>
          <w:lang w:val="ro-RO"/>
        </w:rPr>
        <w:lastRenderedPageBreak/>
        <w:t>CONSIDERAŢII GENERALE</w:t>
      </w:r>
    </w:p>
    <w:p w:rsidR="00610CAE" w:rsidRPr="001900FD" w:rsidRDefault="00610CAE" w:rsidP="00610CAE">
      <w:pPr>
        <w:rPr>
          <w:lang w:val="ro-RO"/>
        </w:rPr>
      </w:pPr>
    </w:p>
    <w:p w:rsidR="00610CAE" w:rsidRPr="001900FD" w:rsidRDefault="00610CAE" w:rsidP="00610CAE">
      <w:pPr>
        <w:rPr>
          <w:lang w:val="ro-RO"/>
        </w:rPr>
      </w:pPr>
    </w:p>
    <w:p w:rsidR="009577D2" w:rsidRPr="001900FD" w:rsidRDefault="00610CAE" w:rsidP="003A4979">
      <w:pPr>
        <w:jc w:val="both"/>
        <w:rPr>
          <w:rFonts w:ascii="Times New Roman" w:hAnsi="Times New Roman" w:cs="Times New Roman"/>
          <w:sz w:val="24"/>
          <w:szCs w:val="24"/>
          <w:lang w:val="ro-RO"/>
        </w:rPr>
      </w:pPr>
      <w:r w:rsidRPr="001900FD">
        <w:rPr>
          <w:rFonts w:ascii="Times New Roman" w:hAnsi="Times New Roman" w:cs="Times New Roman"/>
          <w:b/>
          <w:bCs/>
          <w:sz w:val="24"/>
          <w:szCs w:val="24"/>
          <w:lang w:val="ro-RO"/>
        </w:rPr>
        <w:t>Art.1.</w:t>
      </w:r>
    </w:p>
    <w:p w:rsidR="00610CAE" w:rsidRPr="001900FD" w:rsidRDefault="00610CAE" w:rsidP="003A4979">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Prezentul regulament are la bază următoarea legislaţie:</w:t>
      </w:r>
    </w:p>
    <w:p w:rsidR="00610CAE" w:rsidRPr="001900FD" w:rsidRDefault="00610CAE" w:rsidP="00BD2CC6">
      <w:pPr>
        <w:pStyle w:val="ListParagraph"/>
        <w:numPr>
          <w:ilvl w:val="0"/>
          <w:numId w:val="1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Legea Educaţiei Naţionale nr.1/2011;</w:t>
      </w:r>
    </w:p>
    <w:p w:rsidR="00610CAE" w:rsidRPr="001900FD" w:rsidRDefault="00610CAE" w:rsidP="00BD2CC6">
      <w:pPr>
        <w:pStyle w:val="ListParagraph"/>
        <w:numPr>
          <w:ilvl w:val="0"/>
          <w:numId w:val="1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Legea nr. 288/2004 privind organizarea studiilor universitare;</w:t>
      </w:r>
    </w:p>
    <w:p w:rsidR="00610CAE" w:rsidRPr="001900FD" w:rsidRDefault="00610CAE" w:rsidP="00BD2CC6">
      <w:pPr>
        <w:pStyle w:val="ListParagraph"/>
        <w:numPr>
          <w:ilvl w:val="0"/>
          <w:numId w:val="1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Convenţia de la Lisabona cu privire la recunoaşterea calificărilor obţinute în învăţământul superior în statele din regiunea Europei, semnată la Lisabona la 11 aprilie 1997, ratificată de România prin Legea m. 172/1998;</w:t>
      </w:r>
    </w:p>
    <w:p w:rsidR="00610CAE" w:rsidRPr="001900FD" w:rsidRDefault="00610CAE" w:rsidP="00BD2CC6">
      <w:pPr>
        <w:pStyle w:val="ListParagraph"/>
        <w:numPr>
          <w:ilvl w:val="0"/>
          <w:numId w:val="1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H.G. nr. 1175</w:t>
      </w:r>
      <w:r w:rsidR="004109F1" w:rsidRPr="001900FD">
        <w:rPr>
          <w:rFonts w:ascii="Times New Roman" w:hAnsi="Times New Roman" w:cs="Times New Roman"/>
          <w:sz w:val="24"/>
          <w:szCs w:val="24"/>
          <w:lang w:val="ro-RO"/>
        </w:rPr>
        <w:t>/</w:t>
      </w:r>
      <w:r w:rsidRPr="001900FD">
        <w:rPr>
          <w:rFonts w:ascii="Times New Roman" w:hAnsi="Times New Roman" w:cs="Times New Roman"/>
          <w:sz w:val="24"/>
          <w:szCs w:val="24"/>
          <w:lang w:val="ro-RO"/>
        </w:rPr>
        <w:t>2006 privind organizarea studiilor universitare de licenţă;</w:t>
      </w:r>
    </w:p>
    <w:p w:rsidR="00610CAE" w:rsidRPr="001900FD" w:rsidRDefault="00610CAE" w:rsidP="00BD2CC6">
      <w:pPr>
        <w:pStyle w:val="ListParagraph"/>
        <w:numPr>
          <w:ilvl w:val="0"/>
          <w:numId w:val="1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H.G. nr. 681</w:t>
      </w:r>
      <w:r w:rsidR="004109F1" w:rsidRPr="001900FD">
        <w:rPr>
          <w:rFonts w:ascii="Times New Roman" w:hAnsi="Times New Roman" w:cs="Times New Roman"/>
          <w:sz w:val="24"/>
          <w:szCs w:val="24"/>
          <w:lang w:val="ro-RO"/>
        </w:rPr>
        <w:t>/</w:t>
      </w:r>
      <w:r w:rsidRPr="001900FD">
        <w:rPr>
          <w:rFonts w:ascii="Times New Roman" w:hAnsi="Times New Roman" w:cs="Times New Roman"/>
          <w:sz w:val="24"/>
          <w:szCs w:val="24"/>
          <w:lang w:val="ro-RO"/>
        </w:rPr>
        <w:t>2011 privind aprobarea Codului studiilor universitare de doctorat;</w:t>
      </w:r>
    </w:p>
    <w:p w:rsidR="00610CAE" w:rsidRPr="001900FD" w:rsidRDefault="00610CAE" w:rsidP="00BD2CC6">
      <w:pPr>
        <w:pStyle w:val="ListParagraph"/>
        <w:numPr>
          <w:ilvl w:val="0"/>
          <w:numId w:val="1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H.G. nr. 404</w:t>
      </w:r>
      <w:r w:rsidR="004109F1" w:rsidRPr="001900FD">
        <w:rPr>
          <w:rFonts w:ascii="Times New Roman" w:hAnsi="Times New Roman" w:cs="Times New Roman"/>
          <w:sz w:val="24"/>
          <w:szCs w:val="24"/>
          <w:lang w:val="ro-RO"/>
        </w:rPr>
        <w:t>/</w:t>
      </w:r>
      <w:r w:rsidRPr="001900FD">
        <w:rPr>
          <w:rFonts w:ascii="Times New Roman" w:hAnsi="Times New Roman" w:cs="Times New Roman"/>
          <w:sz w:val="24"/>
          <w:szCs w:val="24"/>
          <w:lang w:val="ro-RO"/>
        </w:rPr>
        <w:t>2006 privind organizarea şi desfăşurarea studiilor universitare de masterat;</w:t>
      </w:r>
    </w:p>
    <w:p w:rsidR="008B3488" w:rsidRPr="001900FD" w:rsidRDefault="008B3488" w:rsidP="00BD2CC6">
      <w:pPr>
        <w:pStyle w:val="ListParagraph"/>
        <w:numPr>
          <w:ilvl w:val="0"/>
          <w:numId w:val="1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Ordinul Minist</w:t>
      </w:r>
      <w:r w:rsidR="000D1FE6" w:rsidRPr="001900FD">
        <w:rPr>
          <w:rFonts w:ascii="Times New Roman" w:hAnsi="Times New Roman" w:cs="Times New Roman"/>
          <w:sz w:val="24"/>
          <w:szCs w:val="24"/>
          <w:lang w:val="ro-RO"/>
        </w:rPr>
        <w:t>erului</w:t>
      </w:r>
      <w:r w:rsidRPr="001900FD">
        <w:rPr>
          <w:rFonts w:ascii="Times New Roman" w:hAnsi="Times New Roman" w:cs="Times New Roman"/>
          <w:sz w:val="24"/>
          <w:szCs w:val="24"/>
          <w:lang w:val="ro-RO"/>
        </w:rPr>
        <w:t xml:space="preserve"> Educaţiei şi Cercetării Nr. 6121/2016 privind aprobarea Metodologiei de recunoaştere a actelor de studii de nivel licenţă, master sau postuniversitar eliberate de instituţii acreditate de învăţământ superior din străinătate;</w:t>
      </w:r>
    </w:p>
    <w:p w:rsidR="000D1FE6" w:rsidRPr="001900FD" w:rsidRDefault="000D1FE6" w:rsidP="00BD2CC6">
      <w:pPr>
        <w:pStyle w:val="ListParagraph"/>
        <w:numPr>
          <w:ilvl w:val="0"/>
          <w:numId w:val="1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Ordinul Ministerului Educaţiei şi Cercetării Nr. 3473/2017 privind aprobarea Metodologiei de primire la studii şi şcolarizare a cetăţenilor străini începând cu anul şcolar/universitar</w:t>
      </w:r>
      <w:r w:rsidR="000D25CB" w:rsidRPr="001900FD">
        <w:rPr>
          <w:rFonts w:ascii="Times New Roman" w:hAnsi="Times New Roman" w:cs="Times New Roman"/>
          <w:sz w:val="24"/>
          <w:szCs w:val="24"/>
          <w:lang w:val="ro-RO"/>
        </w:rPr>
        <w:t xml:space="preserve"> 2017-2018</w:t>
      </w:r>
      <w:r w:rsidRPr="001900FD">
        <w:rPr>
          <w:rFonts w:ascii="Times New Roman" w:hAnsi="Times New Roman" w:cs="Times New Roman"/>
          <w:sz w:val="24"/>
          <w:szCs w:val="24"/>
          <w:lang w:val="ro-RO"/>
        </w:rPr>
        <w:t xml:space="preserve">; </w:t>
      </w:r>
    </w:p>
    <w:p w:rsidR="00610CAE" w:rsidRPr="001900FD" w:rsidRDefault="00610CAE" w:rsidP="00BD2CC6">
      <w:pPr>
        <w:pStyle w:val="ListParagraph"/>
        <w:numPr>
          <w:ilvl w:val="0"/>
          <w:numId w:val="1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Ordinul Ministrului Educaţiei, Cercetării, Tineretului şi Sportului nr. 3677/2012 privind echivalarea şi recunoaşterea actelor de studii obţinute în străinătate care nu corespund celor 3 cicluri de studii universitare tip Bologna implementate în România;</w:t>
      </w:r>
    </w:p>
    <w:p w:rsidR="00610CAE" w:rsidRPr="001900FD" w:rsidRDefault="00610CAE" w:rsidP="00BD2CC6">
      <w:pPr>
        <w:pStyle w:val="ListParagraph"/>
        <w:numPr>
          <w:ilvl w:val="0"/>
          <w:numId w:val="1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Ordinul Ministrului Educaţiei, Cercetării, Tineretului şi Sportului nr. 3223/2012 pentru aprobarea Metodologiei de recunoaştere a perioadelor de studii efectuate în străinătate;</w:t>
      </w:r>
    </w:p>
    <w:p w:rsidR="00610CAE" w:rsidRPr="001900FD" w:rsidRDefault="00610CAE" w:rsidP="00BD2CC6">
      <w:pPr>
        <w:pStyle w:val="ListParagraph"/>
        <w:numPr>
          <w:ilvl w:val="0"/>
          <w:numId w:val="1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Ordinul Ministrului Educaţiei şi Cercetării nr. 3617/2005 privind aplicarea generalizată a Sistemului European de Credite Transferabile;</w:t>
      </w:r>
    </w:p>
    <w:p w:rsidR="00610CAE" w:rsidRPr="001900FD" w:rsidRDefault="00610CAE" w:rsidP="00BD2CC6">
      <w:pPr>
        <w:pStyle w:val="ListParagraph"/>
        <w:numPr>
          <w:ilvl w:val="0"/>
          <w:numId w:val="1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Ordinul MEN Nr. 5140/2019 pentru aprobarea Metodologiei privind mobilitatea academică a studenților</w:t>
      </w:r>
      <w:r w:rsidR="00B95C52" w:rsidRPr="001900FD">
        <w:rPr>
          <w:rFonts w:ascii="Times New Roman" w:hAnsi="Times New Roman" w:cs="Times New Roman"/>
          <w:sz w:val="24"/>
          <w:szCs w:val="24"/>
          <w:lang w:val="ro-RO"/>
        </w:rPr>
        <w:t>;</w:t>
      </w:r>
    </w:p>
    <w:p w:rsidR="00610CAE" w:rsidRPr="001900FD" w:rsidRDefault="00610CAE" w:rsidP="00BD2CC6">
      <w:pPr>
        <w:pStyle w:val="ListParagraph"/>
        <w:numPr>
          <w:ilvl w:val="0"/>
          <w:numId w:val="1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OMENCS nr. 5923/2016 pentru aprobarea Metodologiei privind recunoașterea diplomei de doctor și a titlului de doctor în științe sau într-un domeniu profesional, obținute în străinătate</w:t>
      </w:r>
      <w:r w:rsidR="00B95C52" w:rsidRPr="001900FD">
        <w:rPr>
          <w:rFonts w:ascii="Times New Roman" w:hAnsi="Times New Roman" w:cs="Times New Roman"/>
          <w:sz w:val="24"/>
          <w:szCs w:val="24"/>
          <w:lang w:val="ro-RO"/>
        </w:rPr>
        <w:t>;</w:t>
      </w:r>
    </w:p>
    <w:p w:rsidR="00610CAE" w:rsidRPr="001900FD" w:rsidRDefault="00610CAE" w:rsidP="00BD2CC6">
      <w:pPr>
        <w:pStyle w:val="ListParagraph"/>
        <w:numPr>
          <w:ilvl w:val="0"/>
          <w:numId w:val="1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Ordinul ME</w:t>
      </w:r>
      <w:r w:rsidR="001735B0" w:rsidRPr="001900FD">
        <w:rPr>
          <w:rFonts w:ascii="Times New Roman" w:hAnsi="Times New Roman" w:cs="Times New Roman"/>
          <w:sz w:val="24"/>
          <w:szCs w:val="24"/>
          <w:lang w:val="ro-RO"/>
        </w:rPr>
        <w:t>C</w:t>
      </w:r>
      <w:r w:rsidRPr="001900FD">
        <w:rPr>
          <w:rFonts w:ascii="Times New Roman" w:hAnsi="Times New Roman" w:cs="Times New Roman"/>
          <w:sz w:val="24"/>
          <w:szCs w:val="24"/>
          <w:lang w:val="ro-RO"/>
        </w:rPr>
        <w:t xml:space="preserve"> Nr. </w:t>
      </w:r>
      <w:r w:rsidR="001735B0" w:rsidRPr="001900FD">
        <w:rPr>
          <w:rFonts w:ascii="Times New Roman" w:hAnsi="Times New Roman" w:cs="Times New Roman"/>
          <w:sz w:val="24"/>
          <w:szCs w:val="24"/>
          <w:lang w:val="ro-RO"/>
        </w:rPr>
        <w:t>4156/2020</w:t>
      </w:r>
      <w:r w:rsidRPr="001900FD">
        <w:rPr>
          <w:rFonts w:ascii="Times New Roman" w:hAnsi="Times New Roman" w:cs="Times New Roman"/>
          <w:sz w:val="24"/>
          <w:szCs w:val="24"/>
          <w:lang w:val="ro-RO"/>
        </w:rPr>
        <w:t xml:space="preserve"> pentru aprobarea Regulamentului </w:t>
      </w:r>
      <w:r w:rsidR="001735B0" w:rsidRPr="001900FD">
        <w:rPr>
          <w:rFonts w:ascii="Times New Roman" w:hAnsi="Times New Roman" w:cs="Times New Roman"/>
          <w:sz w:val="24"/>
          <w:szCs w:val="24"/>
          <w:lang w:val="ro-RO"/>
        </w:rPr>
        <w:t xml:space="preserve">cadru </w:t>
      </w:r>
      <w:r w:rsidRPr="001900FD">
        <w:rPr>
          <w:rFonts w:ascii="Times New Roman" w:hAnsi="Times New Roman" w:cs="Times New Roman"/>
          <w:sz w:val="24"/>
          <w:szCs w:val="24"/>
          <w:lang w:val="ro-RO"/>
        </w:rPr>
        <w:t xml:space="preserve">privind regimul actelor de studii </w:t>
      </w:r>
      <w:r w:rsidR="001735B0" w:rsidRPr="001900FD">
        <w:rPr>
          <w:rFonts w:ascii="Times New Roman" w:hAnsi="Times New Roman" w:cs="Times New Roman"/>
          <w:sz w:val="24"/>
          <w:szCs w:val="24"/>
          <w:lang w:val="ro-RO"/>
        </w:rPr>
        <w:t xml:space="preserve">și al documentelor universitare </w:t>
      </w:r>
      <w:r w:rsidRPr="001900FD">
        <w:rPr>
          <w:rFonts w:ascii="Times New Roman" w:hAnsi="Times New Roman" w:cs="Times New Roman"/>
          <w:sz w:val="24"/>
          <w:szCs w:val="24"/>
          <w:lang w:val="ro-RO"/>
        </w:rPr>
        <w:t>în sistemul de învățământ superior</w:t>
      </w:r>
      <w:r w:rsidR="00B95C52" w:rsidRPr="001900FD">
        <w:rPr>
          <w:rFonts w:ascii="Times New Roman" w:hAnsi="Times New Roman" w:cs="Times New Roman"/>
          <w:sz w:val="24"/>
          <w:szCs w:val="24"/>
          <w:lang w:val="ro-RO"/>
        </w:rPr>
        <w:t>.</w:t>
      </w:r>
    </w:p>
    <w:p w:rsidR="00EE2A83" w:rsidRPr="001900FD" w:rsidRDefault="00EE2A83" w:rsidP="00EE2A83">
      <w:pPr>
        <w:jc w:val="both"/>
        <w:rPr>
          <w:rFonts w:ascii="Times New Roman" w:hAnsi="Times New Roman" w:cs="Times New Roman"/>
          <w:sz w:val="24"/>
          <w:szCs w:val="24"/>
          <w:lang w:val="ro-RO"/>
        </w:rPr>
      </w:pPr>
    </w:p>
    <w:p w:rsidR="00EE2A83" w:rsidRPr="001900FD" w:rsidRDefault="00EE2A83" w:rsidP="00EE2A83">
      <w:pPr>
        <w:jc w:val="both"/>
        <w:rPr>
          <w:rFonts w:ascii="Times New Roman" w:hAnsi="Times New Roman" w:cs="Times New Roman"/>
          <w:sz w:val="24"/>
          <w:szCs w:val="24"/>
          <w:lang w:val="ro-RO"/>
        </w:rPr>
      </w:pPr>
    </w:p>
    <w:p w:rsidR="00EE2A83" w:rsidRPr="001900FD" w:rsidRDefault="00EE2A83" w:rsidP="00EE2A83">
      <w:pPr>
        <w:jc w:val="both"/>
        <w:rPr>
          <w:rFonts w:ascii="Times New Roman" w:hAnsi="Times New Roman" w:cs="Times New Roman"/>
          <w:sz w:val="24"/>
          <w:szCs w:val="24"/>
          <w:lang w:val="ro-RO"/>
        </w:rPr>
      </w:pPr>
    </w:p>
    <w:p w:rsidR="00EE2A83" w:rsidRPr="001900FD" w:rsidRDefault="00EE2A83" w:rsidP="00EE2A83">
      <w:pPr>
        <w:jc w:val="both"/>
        <w:rPr>
          <w:rFonts w:ascii="Times New Roman" w:hAnsi="Times New Roman" w:cs="Times New Roman"/>
          <w:sz w:val="24"/>
          <w:szCs w:val="24"/>
          <w:lang w:val="ro-RO"/>
        </w:rPr>
      </w:pPr>
    </w:p>
    <w:p w:rsidR="00EE2A83" w:rsidRPr="001900FD" w:rsidRDefault="00EE2A83" w:rsidP="00EE2A83">
      <w:pPr>
        <w:jc w:val="both"/>
        <w:rPr>
          <w:rFonts w:ascii="Times New Roman" w:hAnsi="Times New Roman" w:cs="Times New Roman"/>
          <w:sz w:val="24"/>
          <w:szCs w:val="24"/>
          <w:lang w:val="ro-RO"/>
        </w:rPr>
      </w:pPr>
    </w:p>
    <w:p w:rsidR="00EE2A83" w:rsidRPr="001900FD" w:rsidRDefault="00EE2A83" w:rsidP="00EE2A83">
      <w:pPr>
        <w:jc w:val="both"/>
        <w:rPr>
          <w:rFonts w:ascii="Times New Roman" w:hAnsi="Times New Roman" w:cs="Times New Roman"/>
          <w:sz w:val="24"/>
          <w:szCs w:val="24"/>
          <w:lang w:val="ro-RO"/>
        </w:rPr>
      </w:pPr>
    </w:p>
    <w:p w:rsidR="00F4583C" w:rsidRPr="001900FD" w:rsidRDefault="00F4583C" w:rsidP="00EE2A83">
      <w:pPr>
        <w:jc w:val="both"/>
        <w:rPr>
          <w:rFonts w:ascii="Times New Roman" w:hAnsi="Times New Roman" w:cs="Times New Roman"/>
          <w:sz w:val="24"/>
          <w:szCs w:val="24"/>
          <w:lang w:val="ro-RO"/>
        </w:rPr>
      </w:pPr>
    </w:p>
    <w:p w:rsidR="00F4583C" w:rsidRPr="001900FD" w:rsidRDefault="00F4583C" w:rsidP="00EE2A83">
      <w:pPr>
        <w:jc w:val="both"/>
        <w:rPr>
          <w:rFonts w:ascii="Times New Roman" w:hAnsi="Times New Roman" w:cs="Times New Roman"/>
          <w:sz w:val="24"/>
          <w:szCs w:val="24"/>
          <w:lang w:val="ro-RO"/>
        </w:rPr>
      </w:pPr>
    </w:p>
    <w:p w:rsidR="00EE2A83" w:rsidRPr="001900FD" w:rsidRDefault="00EE2A83" w:rsidP="00EE2A83">
      <w:pPr>
        <w:jc w:val="both"/>
        <w:rPr>
          <w:rFonts w:ascii="Times New Roman" w:hAnsi="Times New Roman" w:cs="Times New Roman"/>
          <w:sz w:val="24"/>
          <w:szCs w:val="24"/>
          <w:lang w:val="ro-RO"/>
        </w:rPr>
      </w:pPr>
    </w:p>
    <w:p w:rsidR="00EE2A83" w:rsidRPr="001900FD" w:rsidRDefault="00EE2A83" w:rsidP="00EE2A83">
      <w:pPr>
        <w:jc w:val="both"/>
        <w:rPr>
          <w:rFonts w:ascii="Times New Roman" w:hAnsi="Times New Roman" w:cs="Times New Roman"/>
          <w:sz w:val="24"/>
          <w:szCs w:val="24"/>
          <w:lang w:val="ro-RO"/>
        </w:rPr>
      </w:pPr>
    </w:p>
    <w:p w:rsidR="00EE2A83" w:rsidRPr="001900FD" w:rsidRDefault="00EE2A83" w:rsidP="00EE2A83">
      <w:pPr>
        <w:jc w:val="both"/>
        <w:rPr>
          <w:rFonts w:ascii="Times New Roman" w:hAnsi="Times New Roman" w:cs="Times New Roman"/>
          <w:sz w:val="24"/>
          <w:szCs w:val="24"/>
          <w:lang w:val="ro-RO"/>
        </w:rPr>
      </w:pPr>
    </w:p>
    <w:p w:rsidR="000E2FEB" w:rsidRPr="001900FD" w:rsidRDefault="000E2FEB" w:rsidP="000E2FEB">
      <w:pPr>
        <w:jc w:val="center"/>
        <w:rPr>
          <w:rFonts w:ascii="Times New Roman" w:hAnsi="Times New Roman" w:cs="Times New Roman"/>
          <w:b/>
          <w:sz w:val="28"/>
          <w:szCs w:val="28"/>
          <w:lang w:val="ro-RO"/>
        </w:rPr>
      </w:pPr>
      <w:r w:rsidRPr="001900FD">
        <w:rPr>
          <w:rFonts w:ascii="Times New Roman" w:hAnsi="Times New Roman" w:cs="Times New Roman"/>
          <w:b/>
          <w:sz w:val="28"/>
          <w:szCs w:val="28"/>
          <w:lang w:val="ro-RO"/>
        </w:rPr>
        <w:lastRenderedPageBreak/>
        <w:t>II.  RECUNOAŞTEREA PERIOADELOR DE STUDII ÎN CA</w:t>
      </w:r>
      <w:r w:rsidR="00B11313" w:rsidRPr="001900FD">
        <w:rPr>
          <w:rFonts w:ascii="Times New Roman" w:hAnsi="Times New Roman" w:cs="Times New Roman"/>
          <w:b/>
          <w:sz w:val="28"/>
          <w:szCs w:val="28"/>
          <w:lang w:val="ro-RO"/>
        </w:rPr>
        <w:t>ZUL</w:t>
      </w:r>
      <w:r w:rsidRPr="001900FD">
        <w:rPr>
          <w:rFonts w:ascii="Times New Roman" w:hAnsi="Times New Roman" w:cs="Times New Roman"/>
          <w:b/>
          <w:sz w:val="28"/>
          <w:szCs w:val="28"/>
          <w:lang w:val="ro-RO"/>
        </w:rPr>
        <w:t xml:space="preserve"> MOBILITĂŢILOR REGLEMENTATE</w:t>
      </w:r>
    </w:p>
    <w:p w:rsidR="000E2FEB" w:rsidRPr="001900FD" w:rsidRDefault="000E2FEB" w:rsidP="003A4979">
      <w:pPr>
        <w:jc w:val="both"/>
        <w:rPr>
          <w:rFonts w:ascii="Times New Roman" w:hAnsi="Times New Roman" w:cs="Times New Roman"/>
          <w:sz w:val="24"/>
          <w:szCs w:val="24"/>
          <w:lang w:val="ro-RO"/>
        </w:rPr>
      </w:pPr>
    </w:p>
    <w:p w:rsidR="007A1E9A" w:rsidRPr="001900FD" w:rsidRDefault="000A08FF" w:rsidP="000E2FEB">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Art.2</w:t>
      </w:r>
      <w:r w:rsidRPr="001900FD">
        <w:rPr>
          <w:rFonts w:ascii="Times New Roman" w:hAnsi="Times New Roman" w:cs="Times New Roman"/>
          <w:sz w:val="24"/>
          <w:szCs w:val="24"/>
          <w:lang w:val="ro-RO"/>
        </w:rPr>
        <w:t xml:space="preserve">. </w:t>
      </w:r>
      <w:r w:rsidR="000E2FEB" w:rsidRPr="001900FD">
        <w:rPr>
          <w:rFonts w:ascii="Times New Roman" w:hAnsi="Times New Roman" w:cs="Times New Roman"/>
          <w:sz w:val="24"/>
          <w:szCs w:val="24"/>
          <w:lang w:val="ro-RO"/>
        </w:rPr>
        <w:tab/>
      </w:r>
    </w:p>
    <w:p w:rsidR="000A08FF" w:rsidRPr="001900FD" w:rsidRDefault="000A08FF" w:rsidP="004E4FC3">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Perioadele de studii efectuate </w:t>
      </w:r>
      <w:r w:rsidR="000E2FEB" w:rsidRPr="001900FD">
        <w:rPr>
          <w:rFonts w:ascii="Times New Roman" w:hAnsi="Times New Roman" w:cs="Times New Roman"/>
          <w:sz w:val="24"/>
          <w:szCs w:val="24"/>
          <w:lang w:val="ro-RO"/>
        </w:rPr>
        <w:t xml:space="preserve">în străinătate </w:t>
      </w:r>
      <w:r w:rsidRPr="001900FD">
        <w:rPr>
          <w:rFonts w:ascii="Times New Roman" w:hAnsi="Times New Roman" w:cs="Times New Roman"/>
          <w:sz w:val="24"/>
          <w:szCs w:val="24"/>
          <w:lang w:val="ro-RO"/>
        </w:rPr>
        <w:t xml:space="preserve">în baza unor acorduri încheiate între instituţii de învăţământ superior acreditate din România şi instituţii de învăţământ superior acreditate din străinătate sau a unor programe internaţionale, cu excepţia perioadelor de studii ori de plasament efectuate în cadrul </w:t>
      </w:r>
      <w:r w:rsidR="00E17353" w:rsidRPr="001900FD">
        <w:rPr>
          <w:rFonts w:ascii="Times New Roman" w:hAnsi="Times New Roman" w:cs="Times New Roman"/>
          <w:sz w:val="24"/>
          <w:szCs w:val="24"/>
          <w:lang w:val="ro-RO"/>
        </w:rPr>
        <w:t>mobilităților</w:t>
      </w:r>
      <w:r w:rsidRPr="001900FD">
        <w:rPr>
          <w:rFonts w:ascii="Times New Roman" w:hAnsi="Times New Roman" w:cs="Times New Roman"/>
          <w:sz w:val="24"/>
          <w:szCs w:val="24"/>
          <w:lang w:val="ro-RO"/>
        </w:rPr>
        <w:t xml:space="preserve"> ERASMUS</w:t>
      </w:r>
      <w:r w:rsidR="00E17353" w:rsidRPr="001900FD">
        <w:rPr>
          <w:rFonts w:ascii="Times New Roman" w:hAnsi="Times New Roman" w:cs="Times New Roman"/>
          <w:sz w:val="24"/>
          <w:szCs w:val="24"/>
          <w:lang w:val="ro-RO"/>
        </w:rPr>
        <w:t xml:space="preserve"> (Erasmus+, K1 etc)</w:t>
      </w:r>
      <w:r w:rsidRPr="001900FD">
        <w:rPr>
          <w:rFonts w:ascii="Times New Roman" w:hAnsi="Times New Roman" w:cs="Times New Roman"/>
          <w:sz w:val="24"/>
          <w:szCs w:val="24"/>
          <w:lang w:val="ro-RO"/>
        </w:rPr>
        <w:t>, se recunosc de către universităţi în conformitate cu prevederile respectivelor acorduri sau programe de mobilităţi.</w:t>
      </w:r>
    </w:p>
    <w:p w:rsidR="000A08FF" w:rsidRPr="001900FD" w:rsidRDefault="000A08FF" w:rsidP="004E4FC3">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(2) Începând cu data intrării în vigoare a Regulamentului de recunoaştere a perioadelor de studii efectuate în străinătate, Universitatea POLITEHNICA din Bucureşti</w:t>
      </w:r>
      <w:r w:rsidR="0057259C" w:rsidRPr="001900FD">
        <w:rPr>
          <w:rFonts w:ascii="Times New Roman" w:hAnsi="Times New Roman" w:cs="Times New Roman"/>
          <w:sz w:val="24"/>
          <w:szCs w:val="24"/>
          <w:lang w:val="ro-RO"/>
        </w:rPr>
        <w:t xml:space="preserve"> (UPB)</w:t>
      </w:r>
      <w:r w:rsidRPr="001900FD">
        <w:rPr>
          <w:rFonts w:ascii="Times New Roman" w:hAnsi="Times New Roman" w:cs="Times New Roman"/>
          <w:sz w:val="24"/>
          <w:szCs w:val="24"/>
          <w:lang w:val="ro-RO"/>
        </w:rPr>
        <w:t xml:space="preserve"> va transmite Centrului Naţional de Recunoaştere şi Echivalare a Diplomelor, denumit în continuare CNRED, spre avizare, proiectele de acorduri interinstituţionale internaţionale menţionate la alin. (1). CNRED avizează proiectul de acord în urma verificării următoarelor elemente:</w:t>
      </w:r>
    </w:p>
    <w:p w:rsidR="000A08FF" w:rsidRPr="001900FD" w:rsidRDefault="000A08FF" w:rsidP="00BD2CC6">
      <w:pPr>
        <w:pStyle w:val="ListParagraph"/>
        <w:numPr>
          <w:ilvl w:val="0"/>
          <w:numId w:val="16"/>
        </w:numPr>
        <w:ind w:left="709"/>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statutul instituţiei de învăţământ superior partenere din străinătate;</w:t>
      </w:r>
    </w:p>
    <w:p w:rsidR="000A08FF" w:rsidRPr="001900FD" w:rsidRDefault="000A08FF" w:rsidP="00BD2CC6">
      <w:pPr>
        <w:pStyle w:val="ListParagraph"/>
        <w:numPr>
          <w:ilvl w:val="0"/>
          <w:numId w:val="16"/>
        </w:numPr>
        <w:ind w:left="709"/>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tipul actului emis la finalizarea programului de studiu ce face obiectul acordului, respectiv recunoaşterea acestuia ca făcând parte din categoria actelor de studiu din sistemul de educaţie al statului care a acreditat instituţia parteneră.</w:t>
      </w:r>
    </w:p>
    <w:p w:rsidR="000A08FF" w:rsidRPr="001900FD" w:rsidRDefault="000A08FF" w:rsidP="00BD2CC6">
      <w:pPr>
        <w:ind w:left="709"/>
        <w:jc w:val="both"/>
        <w:rPr>
          <w:rFonts w:ascii="Times New Roman" w:hAnsi="Times New Roman" w:cs="Times New Roman"/>
          <w:sz w:val="24"/>
          <w:szCs w:val="24"/>
          <w:lang w:val="ro-RO"/>
        </w:rPr>
      </w:pPr>
    </w:p>
    <w:p w:rsidR="007A1E9A" w:rsidRPr="001900FD" w:rsidRDefault="000E2FEB" w:rsidP="003A4979">
      <w:pPr>
        <w:jc w:val="both"/>
        <w:rPr>
          <w:rFonts w:ascii="Times New Roman" w:hAnsi="Times New Roman" w:cs="Times New Roman"/>
          <w:b/>
          <w:bCs/>
          <w:sz w:val="24"/>
          <w:szCs w:val="24"/>
          <w:lang w:val="ro-RO"/>
        </w:rPr>
      </w:pPr>
      <w:r w:rsidRPr="001900FD">
        <w:rPr>
          <w:rFonts w:ascii="Times New Roman" w:hAnsi="Times New Roman" w:cs="Times New Roman"/>
          <w:b/>
          <w:bCs/>
          <w:sz w:val="24"/>
          <w:szCs w:val="24"/>
          <w:lang w:val="ro-RO"/>
        </w:rPr>
        <w:t>Art. 3</w:t>
      </w:r>
      <w:r w:rsidR="008F6640" w:rsidRPr="001900FD">
        <w:rPr>
          <w:rFonts w:ascii="Times New Roman" w:hAnsi="Times New Roman" w:cs="Times New Roman"/>
          <w:b/>
          <w:bCs/>
          <w:sz w:val="24"/>
          <w:szCs w:val="24"/>
          <w:lang w:val="ro-RO"/>
        </w:rPr>
        <w:t>.</w:t>
      </w:r>
      <w:r w:rsidRPr="001900FD">
        <w:rPr>
          <w:rFonts w:ascii="Times New Roman" w:hAnsi="Times New Roman" w:cs="Times New Roman"/>
          <w:b/>
          <w:bCs/>
          <w:sz w:val="24"/>
          <w:szCs w:val="24"/>
          <w:lang w:val="ro-RO"/>
        </w:rPr>
        <w:tab/>
      </w:r>
    </w:p>
    <w:p w:rsidR="000A08FF" w:rsidRPr="001900FD" w:rsidRDefault="007079DE" w:rsidP="003A4979">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8423D5" w:rsidRPr="001900FD">
        <w:rPr>
          <w:rFonts w:ascii="Times New Roman" w:hAnsi="Times New Roman" w:cs="Times New Roman"/>
          <w:sz w:val="24"/>
          <w:szCs w:val="24"/>
          <w:lang w:val="ro-RO"/>
        </w:rPr>
        <w:t xml:space="preserve">Pentru înmatricularea în </w:t>
      </w:r>
      <w:r w:rsidR="00184DF2" w:rsidRPr="001900FD">
        <w:rPr>
          <w:rFonts w:ascii="Times New Roman" w:hAnsi="Times New Roman" w:cs="Times New Roman"/>
          <w:sz w:val="24"/>
          <w:szCs w:val="24"/>
          <w:lang w:val="ro-RO"/>
        </w:rPr>
        <w:t>Universitatea POLITEHNICA din Bucureşti</w:t>
      </w:r>
      <w:r w:rsidR="008423D5" w:rsidRPr="001900FD">
        <w:rPr>
          <w:rFonts w:ascii="Times New Roman" w:hAnsi="Times New Roman" w:cs="Times New Roman"/>
          <w:sz w:val="24"/>
          <w:szCs w:val="24"/>
          <w:lang w:val="ro-RO"/>
        </w:rPr>
        <w:t xml:space="preserve"> a s</w:t>
      </w:r>
      <w:r w:rsidR="009F7F13" w:rsidRPr="001900FD">
        <w:rPr>
          <w:rFonts w:ascii="Times New Roman" w:eastAsia="Calibri" w:hAnsi="Times New Roman" w:cs="Times New Roman"/>
          <w:sz w:val="24"/>
          <w:szCs w:val="24"/>
          <w:lang w:val="ro-RO"/>
        </w:rPr>
        <w:t>tuden</w:t>
      </w:r>
      <w:r w:rsidR="007A1E9A" w:rsidRPr="001900FD">
        <w:rPr>
          <w:rFonts w:ascii="Times New Roman" w:eastAsia="Calibri" w:hAnsi="Times New Roman" w:cs="Times New Roman"/>
          <w:sz w:val="24"/>
          <w:szCs w:val="24"/>
          <w:lang w:val="ro-RO"/>
        </w:rPr>
        <w:t>ţilor</w:t>
      </w:r>
      <w:r w:rsidR="001900FD">
        <w:rPr>
          <w:rFonts w:ascii="Times New Roman" w:eastAsia="Calibri" w:hAnsi="Times New Roman" w:cs="Times New Roman"/>
          <w:sz w:val="24"/>
          <w:szCs w:val="24"/>
          <w:lang w:val="ro-RO"/>
        </w:rPr>
        <w:t xml:space="preserve"> </w:t>
      </w:r>
      <w:r w:rsidR="008423D5" w:rsidRPr="001900FD">
        <w:rPr>
          <w:rFonts w:ascii="Times New Roman" w:eastAsia="Calibri" w:hAnsi="Times New Roman" w:cs="Times New Roman"/>
          <w:sz w:val="24"/>
          <w:szCs w:val="24"/>
          <w:lang w:val="ro-RO"/>
        </w:rPr>
        <w:t xml:space="preserve">care fac obiectul acordurilor menţionate la </w:t>
      </w:r>
      <w:r w:rsidR="007A1E9A" w:rsidRPr="001900FD">
        <w:rPr>
          <w:rFonts w:ascii="Times New Roman" w:eastAsia="Calibri" w:hAnsi="Times New Roman" w:cs="Times New Roman"/>
          <w:sz w:val="24"/>
          <w:szCs w:val="24"/>
          <w:lang w:val="ro-RO"/>
        </w:rPr>
        <w:t xml:space="preserve">Art. 1, </w:t>
      </w:r>
      <w:r w:rsidR="008423D5" w:rsidRPr="001900FD">
        <w:rPr>
          <w:rFonts w:ascii="Times New Roman" w:eastAsia="Calibri" w:hAnsi="Times New Roman" w:cs="Times New Roman"/>
          <w:sz w:val="24"/>
          <w:szCs w:val="24"/>
          <w:lang w:val="ro-RO"/>
        </w:rPr>
        <w:t>alin. (1),</w:t>
      </w:r>
      <w:r w:rsidR="009F7F13" w:rsidRPr="001900FD">
        <w:rPr>
          <w:rFonts w:ascii="Times New Roman" w:eastAsia="Calibri" w:hAnsi="Times New Roman" w:cs="Times New Roman"/>
          <w:sz w:val="24"/>
          <w:szCs w:val="24"/>
          <w:lang w:val="ro-RO"/>
        </w:rPr>
        <w:t xml:space="preserve"> cetăţeni ai </w:t>
      </w:r>
      <w:r w:rsidR="009F7F13" w:rsidRPr="001900FD">
        <w:rPr>
          <w:rFonts w:ascii="Times New Roman" w:hAnsi="Times New Roman" w:cs="Times New Roman"/>
          <w:sz w:val="24"/>
          <w:szCs w:val="24"/>
          <w:lang w:val="ro-RO"/>
        </w:rPr>
        <w:t>statelor care nu sunt membre ale UE</w:t>
      </w:r>
      <w:r w:rsidR="008423D5" w:rsidRPr="001900FD">
        <w:rPr>
          <w:rFonts w:ascii="Times New Roman" w:hAnsi="Times New Roman" w:cs="Times New Roman"/>
          <w:sz w:val="24"/>
          <w:szCs w:val="24"/>
          <w:lang w:val="ro-RO"/>
        </w:rPr>
        <w:t xml:space="preserve">, sau </w:t>
      </w:r>
      <w:r w:rsidR="009F7F13" w:rsidRPr="001900FD">
        <w:rPr>
          <w:rFonts w:ascii="Times New Roman" w:hAnsi="Times New Roman" w:cs="Times New Roman"/>
          <w:sz w:val="24"/>
          <w:szCs w:val="24"/>
          <w:lang w:val="ro-RO"/>
        </w:rPr>
        <w:t>care nu fac parte din Spațiul Economic Euro</w:t>
      </w:r>
      <w:r w:rsidR="006303F4" w:rsidRPr="001900FD">
        <w:rPr>
          <w:rFonts w:ascii="Times New Roman" w:hAnsi="Times New Roman" w:cs="Times New Roman"/>
          <w:sz w:val="24"/>
          <w:szCs w:val="24"/>
          <w:lang w:val="ro-RO"/>
        </w:rPr>
        <w:t>p</w:t>
      </w:r>
      <w:r w:rsidR="009F7F13" w:rsidRPr="001900FD">
        <w:rPr>
          <w:rFonts w:ascii="Times New Roman" w:hAnsi="Times New Roman" w:cs="Times New Roman"/>
          <w:sz w:val="24"/>
          <w:szCs w:val="24"/>
          <w:lang w:val="ro-RO"/>
        </w:rPr>
        <w:t>ean și din Federația Elvețiană</w:t>
      </w:r>
      <w:r w:rsidR="008423D5" w:rsidRPr="001900FD">
        <w:rPr>
          <w:rFonts w:ascii="Times New Roman" w:hAnsi="Times New Roman" w:cs="Times New Roman"/>
          <w:sz w:val="24"/>
          <w:szCs w:val="24"/>
          <w:lang w:val="ro-RO"/>
        </w:rPr>
        <w:t>, se va constitui un dosar care să conţină:</w:t>
      </w:r>
    </w:p>
    <w:p w:rsidR="00610CAE" w:rsidRPr="001900FD" w:rsidRDefault="002C4148" w:rsidP="00473B8C">
      <w:pPr>
        <w:pStyle w:val="ListParagraph"/>
        <w:numPr>
          <w:ilvl w:val="0"/>
          <w:numId w:val="21"/>
        </w:numPr>
        <w:ind w:hanging="294"/>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d</w:t>
      </w:r>
      <w:r w:rsidR="008423D5" w:rsidRPr="001900FD">
        <w:rPr>
          <w:rFonts w:ascii="Times New Roman" w:hAnsi="Times New Roman" w:cs="Times New Roman"/>
          <w:sz w:val="24"/>
          <w:szCs w:val="24"/>
          <w:lang w:val="ro-RO"/>
        </w:rPr>
        <w:t xml:space="preserve">ocumentele prevăzute prin </w:t>
      </w:r>
      <w:r w:rsidR="008423D5" w:rsidRPr="001900FD">
        <w:rPr>
          <w:rFonts w:ascii="Times New Roman" w:eastAsia="Calibri" w:hAnsi="Times New Roman" w:cs="Times New Roman"/>
          <w:bCs/>
          <w:i/>
          <w:iCs/>
          <w:sz w:val="24"/>
          <w:szCs w:val="24"/>
          <w:bdr w:val="none" w:sz="0" w:space="0" w:color="auto" w:frame="1"/>
          <w:lang w:val="ro-RO"/>
        </w:rPr>
        <w:t>Metodologia UPB de primire la studii şi şcolarizare a cetaţenilor străini din state non-UE, care nu fac parte din Spaţiul Economic European şi din Confederaţia Elveţiană;</w:t>
      </w:r>
    </w:p>
    <w:p w:rsidR="008423D5" w:rsidRPr="001900FD" w:rsidRDefault="002C4148" w:rsidP="00473B8C">
      <w:pPr>
        <w:pStyle w:val="ListParagraph"/>
        <w:numPr>
          <w:ilvl w:val="0"/>
          <w:numId w:val="21"/>
        </w:numPr>
        <w:ind w:hanging="294"/>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s</w:t>
      </w:r>
      <w:r w:rsidR="008423D5" w:rsidRPr="001900FD">
        <w:rPr>
          <w:rFonts w:ascii="Times New Roman" w:hAnsi="Times New Roman" w:cs="Times New Roman"/>
          <w:sz w:val="24"/>
          <w:szCs w:val="24"/>
          <w:lang w:val="ro-RO"/>
        </w:rPr>
        <w:t>ituaţia şcolară</w:t>
      </w:r>
      <w:r w:rsidR="006A2C74" w:rsidRPr="001900FD">
        <w:rPr>
          <w:rFonts w:ascii="Times New Roman" w:hAnsi="Times New Roman" w:cs="Times New Roman"/>
          <w:sz w:val="24"/>
          <w:szCs w:val="24"/>
          <w:lang w:val="ro-RO"/>
        </w:rPr>
        <w:t xml:space="preserve"> aferentă anilor universitari anteriori,</w:t>
      </w:r>
      <w:r w:rsidR="008423D5" w:rsidRPr="001900FD">
        <w:rPr>
          <w:rFonts w:ascii="Times New Roman" w:hAnsi="Times New Roman" w:cs="Times New Roman"/>
          <w:sz w:val="24"/>
          <w:szCs w:val="24"/>
          <w:lang w:val="ro-RO"/>
        </w:rPr>
        <w:t xml:space="preserve"> obţinută pe cale oficială de la universitatea de origine a studenţilor.</w:t>
      </w:r>
    </w:p>
    <w:p w:rsidR="002C4148" w:rsidRPr="001900FD" w:rsidRDefault="002C4148" w:rsidP="002C4148">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w:t>
      </w:r>
      <w:r w:rsidRPr="00F81A3B">
        <w:rPr>
          <w:rFonts w:ascii="Times New Roman" w:hAnsi="Times New Roman" w:cs="Times New Roman"/>
          <w:sz w:val="24"/>
          <w:szCs w:val="24"/>
          <w:lang w:val="ro-RO"/>
        </w:rPr>
        <w:t>2) Aceste documente vor fi depuse de studenţi la Departamentul d</w:t>
      </w:r>
      <w:r w:rsidR="00AA6855" w:rsidRPr="00F81A3B">
        <w:rPr>
          <w:rFonts w:ascii="Times New Roman" w:hAnsi="Times New Roman" w:cs="Times New Roman"/>
          <w:sz w:val="24"/>
          <w:szCs w:val="24"/>
          <w:lang w:val="ro-RO"/>
        </w:rPr>
        <w:t xml:space="preserve">e Relații Internaționale al UPB, </w:t>
      </w:r>
      <w:r w:rsidR="00F81A3B" w:rsidRPr="00F81A3B">
        <w:rPr>
          <w:rFonts w:ascii="Times New Roman" w:hAnsi="Times New Roman" w:cs="Times New Roman"/>
          <w:sz w:val="24"/>
          <w:szCs w:val="24"/>
          <w:lang w:val="ro-RO"/>
        </w:rPr>
        <w:t>în vedere demarării proc</w:t>
      </w:r>
      <w:r w:rsidR="00F81A3B">
        <w:rPr>
          <w:rFonts w:ascii="Times New Roman" w:hAnsi="Times New Roman" w:cs="Times New Roman"/>
          <w:sz w:val="24"/>
          <w:szCs w:val="24"/>
          <w:lang w:val="ro-RO"/>
        </w:rPr>
        <w:t>esului</w:t>
      </w:r>
      <w:r w:rsidR="00F81A3B" w:rsidRPr="00F81A3B">
        <w:rPr>
          <w:rFonts w:ascii="Times New Roman" w:hAnsi="Times New Roman" w:cs="Times New Roman"/>
          <w:sz w:val="24"/>
          <w:szCs w:val="24"/>
          <w:lang w:val="ro-RO"/>
        </w:rPr>
        <w:t xml:space="preserve"> de înmatriculare.</w:t>
      </w:r>
    </w:p>
    <w:p w:rsidR="006303F4" w:rsidRPr="001900FD" w:rsidRDefault="007079DE" w:rsidP="00DA1D4D">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w:t>
      </w:r>
      <w:r w:rsidR="002C4148" w:rsidRPr="001900FD">
        <w:rPr>
          <w:rFonts w:ascii="Times New Roman" w:hAnsi="Times New Roman" w:cs="Times New Roman"/>
          <w:sz w:val="24"/>
          <w:szCs w:val="24"/>
          <w:lang w:val="ro-RO"/>
        </w:rPr>
        <w:t>3</w:t>
      </w:r>
      <w:r w:rsidRPr="001900FD">
        <w:rPr>
          <w:rFonts w:ascii="Times New Roman" w:hAnsi="Times New Roman" w:cs="Times New Roman"/>
          <w:sz w:val="24"/>
          <w:szCs w:val="24"/>
          <w:lang w:val="ro-RO"/>
        </w:rPr>
        <w:t xml:space="preserve">) </w:t>
      </w:r>
      <w:r w:rsidR="008423D5" w:rsidRPr="001900FD">
        <w:rPr>
          <w:rFonts w:ascii="Times New Roman" w:hAnsi="Times New Roman" w:cs="Times New Roman"/>
          <w:sz w:val="24"/>
          <w:szCs w:val="24"/>
          <w:lang w:val="ro-RO"/>
        </w:rPr>
        <w:t>Dosarul astfel constituit este transmis de Departamentul de Relații Internaționale al UPB către Ministerul Educaţiei şi Cercetării în vederea obţinerii scriso</w:t>
      </w:r>
      <w:r w:rsidR="007A1E9A" w:rsidRPr="001900FD">
        <w:rPr>
          <w:rFonts w:ascii="Times New Roman" w:hAnsi="Times New Roman" w:cs="Times New Roman"/>
          <w:sz w:val="24"/>
          <w:szCs w:val="24"/>
          <w:lang w:val="ro-RO"/>
        </w:rPr>
        <w:t>rii de accept</w:t>
      </w:r>
      <w:r w:rsidR="00CA2DDE" w:rsidRPr="001900FD">
        <w:rPr>
          <w:rFonts w:ascii="Times New Roman" w:hAnsi="Times New Roman" w:cs="Times New Roman"/>
          <w:sz w:val="24"/>
          <w:szCs w:val="24"/>
          <w:lang w:val="ro-RO"/>
        </w:rPr>
        <w:t>are</w:t>
      </w:r>
      <w:r w:rsidR="007A1E9A" w:rsidRPr="001900FD">
        <w:rPr>
          <w:rFonts w:ascii="Times New Roman" w:hAnsi="Times New Roman" w:cs="Times New Roman"/>
          <w:sz w:val="24"/>
          <w:szCs w:val="24"/>
          <w:lang w:val="ro-RO"/>
        </w:rPr>
        <w:t xml:space="preserve"> la studiu</w:t>
      </w:r>
      <w:r w:rsidR="00FB7B64" w:rsidRPr="001900FD">
        <w:rPr>
          <w:rFonts w:ascii="Times New Roman" w:hAnsi="Times New Roman" w:cs="Times New Roman"/>
          <w:sz w:val="24"/>
          <w:szCs w:val="24"/>
          <w:lang w:val="ro-RO"/>
        </w:rPr>
        <w:t>.</w:t>
      </w:r>
    </w:p>
    <w:p w:rsidR="00610CAE" w:rsidRPr="001900FD" w:rsidRDefault="00610CAE" w:rsidP="00DA1D4D">
      <w:pPr>
        <w:jc w:val="both"/>
        <w:rPr>
          <w:rFonts w:ascii="Times New Roman" w:hAnsi="Times New Roman" w:cs="Times New Roman"/>
          <w:sz w:val="24"/>
          <w:szCs w:val="24"/>
          <w:lang w:val="ro-RO"/>
        </w:rPr>
      </w:pPr>
    </w:p>
    <w:p w:rsidR="00FB7B64" w:rsidRPr="001900FD" w:rsidRDefault="00FB7B64" w:rsidP="00DA1D4D">
      <w:pPr>
        <w:jc w:val="both"/>
        <w:rPr>
          <w:rFonts w:ascii="Times New Roman" w:hAnsi="Times New Roman" w:cs="Times New Roman"/>
          <w:b/>
          <w:bCs/>
          <w:sz w:val="24"/>
          <w:szCs w:val="24"/>
          <w:lang w:val="ro-RO"/>
        </w:rPr>
      </w:pPr>
      <w:r w:rsidRPr="001900FD">
        <w:rPr>
          <w:rFonts w:ascii="Times New Roman" w:hAnsi="Times New Roman" w:cs="Times New Roman"/>
          <w:b/>
          <w:bCs/>
          <w:sz w:val="24"/>
          <w:szCs w:val="24"/>
          <w:lang w:val="ro-RO"/>
        </w:rPr>
        <w:t>Art. 4</w:t>
      </w:r>
      <w:r w:rsidR="008F6640" w:rsidRPr="001900FD">
        <w:rPr>
          <w:rFonts w:ascii="Times New Roman" w:hAnsi="Times New Roman" w:cs="Times New Roman"/>
          <w:b/>
          <w:bCs/>
          <w:sz w:val="24"/>
          <w:szCs w:val="24"/>
          <w:lang w:val="ro-RO"/>
        </w:rPr>
        <w:t>.</w:t>
      </w:r>
      <w:r w:rsidRPr="001900FD">
        <w:rPr>
          <w:rFonts w:ascii="Times New Roman" w:hAnsi="Times New Roman" w:cs="Times New Roman"/>
          <w:b/>
          <w:bCs/>
          <w:sz w:val="24"/>
          <w:szCs w:val="24"/>
          <w:lang w:val="ro-RO"/>
        </w:rPr>
        <w:tab/>
      </w:r>
    </w:p>
    <w:p w:rsidR="00FB7B64" w:rsidRPr="001900FD" w:rsidRDefault="007079DE" w:rsidP="00DA1D4D">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FB7B64" w:rsidRPr="001900FD">
        <w:rPr>
          <w:rFonts w:ascii="Times New Roman" w:hAnsi="Times New Roman" w:cs="Times New Roman"/>
          <w:sz w:val="24"/>
          <w:szCs w:val="24"/>
          <w:lang w:val="ro-RO"/>
        </w:rPr>
        <w:t xml:space="preserve">Pentru înmatricularea </w:t>
      </w:r>
      <w:r w:rsidR="008C74AC" w:rsidRPr="001900FD">
        <w:rPr>
          <w:rFonts w:ascii="Times New Roman" w:hAnsi="Times New Roman" w:cs="Times New Roman"/>
          <w:sz w:val="24"/>
          <w:szCs w:val="24"/>
          <w:lang w:val="ro-RO"/>
        </w:rPr>
        <w:t>la Universitatea POLITEHNICA din Bucureşti</w:t>
      </w:r>
      <w:r w:rsidR="00FB7B64" w:rsidRPr="001900FD">
        <w:rPr>
          <w:rFonts w:ascii="Times New Roman" w:hAnsi="Times New Roman" w:cs="Times New Roman"/>
          <w:sz w:val="24"/>
          <w:szCs w:val="24"/>
          <w:lang w:val="ro-RO"/>
        </w:rPr>
        <w:t xml:space="preserve"> a s</w:t>
      </w:r>
      <w:r w:rsidR="00FB7B64" w:rsidRPr="001900FD">
        <w:rPr>
          <w:rFonts w:ascii="Times New Roman" w:eastAsia="Calibri" w:hAnsi="Times New Roman" w:cs="Times New Roman"/>
          <w:sz w:val="24"/>
          <w:szCs w:val="24"/>
          <w:lang w:val="ro-RO"/>
        </w:rPr>
        <w:t xml:space="preserve">tudenţilor care fac obiectul acordurilor menţionate la Art. </w:t>
      </w:r>
      <w:r w:rsidR="005E0D5C" w:rsidRPr="001900FD">
        <w:rPr>
          <w:rFonts w:ascii="Times New Roman" w:eastAsia="Calibri" w:hAnsi="Times New Roman" w:cs="Times New Roman"/>
          <w:sz w:val="24"/>
          <w:szCs w:val="24"/>
          <w:lang w:val="ro-RO"/>
        </w:rPr>
        <w:t>2</w:t>
      </w:r>
      <w:r w:rsidR="00FB7B64" w:rsidRPr="001900FD">
        <w:rPr>
          <w:rFonts w:ascii="Times New Roman" w:eastAsia="Calibri" w:hAnsi="Times New Roman" w:cs="Times New Roman"/>
          <w:sz w:val="24"/>
          <w:szCs w:val="24"/>
          <w:lang w:val="ro-RO"/>
        </w:rPr>
        <w:t xml:space="preserve">, alin. (1), cetăţeni ai </w:t>
      </w:r>
      <w:r w:rsidR="00FB7B64" w:rsidRPr="001900FD">
        <w:rPr>
          <w:rFonts w:ascii="Times New Roman" w:hAnsi="Times New Roman" w:cs="Times New Roman"/>
          <w:sz w:val="24"/>
          <w:szCs w:val="24"/>
          <w:lang w:val="ro-RO"/>
        </w:rPr>
        <w:t xml:space="preserve">statelor </w:t>
      </w:r>
      <w:r w:rsidR="00553812" w:rsidRPr="001900FD">
        <w:rPr>
          <w:rFonts w:ascii="Times New Roman" w:hAnsi="Times New Roman" w:cs="Times New Roman"/>
          <w:sz w:val="24"/>
          <w:szCs w:val="24"/>
          <w:lang w:val="ro-RO"/>
        </w:rPr>
        <w:t>membre</w:t>
      </w:r>
      <w:r w:rsidR="00FB7B64" w:rsidRPr="001900FD">
        <w:rPr>
          <w:rFonts w:ascii="Times New Roman" w:hAnsi="Times New Roman" w:cs="Times New Roman"/>
          <w:sz w:val="24"/>
          <w:szCs w:val="24"/>
          <w:lang w:val="ro-RO"/>
        </w:rPr>
        <w:t xml:space="preserve"> UE, sau care fac parte din Spațiul Economic European și din Federația Elvețiană, se va constitui un dosar care să conţină:</w:t>
      </w:r>
    </w:p>
    <w:p w:rsidR="00E17353" w:rsidRPr="001900FD" w:rsidRDefault="002C4148" w:rsidP="00BD2CC6">
      <w:pPr>
        <w:pStyle w:val="ListParagraph"/>
        <w:numPr>
          <w:ilvl w:val="0"/>
          <w:numId w:val="3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c</w:t>
      </w:r>
      <w:r w:rsidR="001C3EDE" w:rsidRPr="001900FD">
        <w:rPr>
          <w:rFonts w:ascii="Times New Roman" w:hAnsi="Times New Roman" w:cs="Times New Roman"/>
          <w:sz w:val="24"/>
          <w:szCs w:val="24"/>
          <w:lang w:val="ro-RO"/>
        </w:rPr>
        <w:t xml:space="preserve">ererea de inscriere (formular tipizat) care este disponibil pe pagina web a Departamentului de Relaţii Internaţionale; în cerere se va menţiona obligatoriu de către solicitant adresa de corespondenţă electronică şi adresa poştală de corespondenţă, în vederea comunicării cu solicitantul pe parcursul procedurii, după caz. Solicitantul îşi </w:t>
      </w:r>
      <w:r w:rsidR="001C3EDE" w:rsidRPr="001900FD">
        <w:rPr>
          <w:rFonts w:ascii="Times New Roman" w:hAnsi="Times New Roman" w:cs="Times New Roman"/>
          <w:sz w:val="24"/>
          <w:szCs w:val="24"/>
          <w:lang w:val="ro-RO"/>
        </w:rPr>
        <w:lastRenderedPageBreak/>
        <w:t>asumă corectitudinea adresei de e-mail şi a adresei poştale de corespondenţă declarate;</w:t>
      </w:r>
    </w:p>
    <w:p w:rsidR="001C3EDE" w:rsidRPr="001900FD" w:rsidRDefault="002C4148" w:rsidP="00BD2CC6">
      <w:pPr>
        <w:pStyle w:val="ListParagraph"/>
        <w:numPr>
          <w:ilvl w:val="0"/>
          <w:numId w:val="3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d</w:t>
      </w:r>
      <w:r w:rsidR="001C3EDE" w:rsidRPr="001900FD">
        <w:rPr>
          <w:rFonts w:ascii="Times New Roman" w:hAnsi="Times New Roman" w:cs="Times New Roman"/>
          <w:sz w:val="24"/>
          <w:szCs w:val="24"/>
          <w:lang w:val="ro-RO"/>
        </w:rPr>
        <w:t xml:space="preserve">ocumente personale de identificare, în copie: paşaport / actul de identitate – buletin sau carte de identitate; </w:t>
      </w:r>
      <w:r w:rsidR="00CA2DDE" w:rsidRPr="001900FD">
        <w:rPr>
          <w:rFonts w:ascii="Times New Roman" w:hAnsi="Times New Roman" w:cs="Times New Roman"/>
          <w:sz w:val="24"/>
          <w:szCs w:val="24"/>
          <w:lang w:val="ro-RO"/>
        </w:rPr>
        <w:t xml:space="preserve">certificat de naștere; </w:t>
      </w:r>
      <w:r w:rsidR="001C3EDE" w:rsidRPr="001900FD">
        <w:rPr>
          <w:rFonts w:ascii="Times New Roman" w:hAnsi="Times New Roman" w:cs="Times New Roman"/>
          <w:sz w:val="24"/>
          <w:szCs w:val="24"/>
          <w:lang w:val="ro-RO"/>
        </w:rPr>
        <w:t>dovada schimbării numelui (dacă este cazul), în copie (limba română/ engleză/ franceză/ spaniolă/ italiană) și traducere legalizată (pentru celelalte limbi);</w:t>
      </w:r>
    </w:p>
    <w:p w:rsidR="00862167" w:rsidRPr="001900FD" w:rsidRDefault="002C4148" w:rsidP="00BD2CC6">
      <w:pPr>
        <w:pStyle w:val="ListParagraph"/>
        <w:numPr>
          <w:ilvl w:val="0"/>
          <w:numId w:val="3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d</w:t>
      </w:r>
      <w:r w:rsidR="00862167" w:rsidRPr="001900FD">
        <w:rPr>
          <w:rFonts w:ascii="Times New Roman" w:hAnsi="Times New Roman" w:cs="Times New Roman"/>
          <w:sz w:val="24"/>
          <w:szCs w:val="24"/>
          <w:lang w:val="ro-RO"/>
        </w:rPr>
        <w:t>iploma de Bacalaureat/Certificatul de studii liceale: copie, dacă actul de studii este emis în limba română, engleză, franceză, spaniolă, italiană; copie şi traducere legalizată (în original) în limba română pentru actele emise în celelalte limbi străine;</w:t>
      </w:r>
    </w:p>
    <w:p w:rsidR="00862167" w:rsidRPr="001900FD" w:rsidRDefault="002C4148" w:rsidP="00BD2CC6">
      <w:pPr>
        <w:pStyle w:val="ListParagraph"/>
        <w:numPr>
          <w:ilvl w:val="0"/>
          <w:numId w:val="35"/>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s</w:t>
      </w:r>
      <w:r w:rsidR="00862167" w:rsidRPr="001900FD">
        <w:rPr>
          <w:rFonts w:ascii="Times New Roman" w:hAnsi="Times New Roman" w:cs="Times New Roman"/>
          <w:sz w:val="24"/>
          <w:szCs w:val="24"/>
          <w:lang w:val="ro-RO"/>
        </w:rPr>
        <w:t>ituația școlară, din care să rezulte disciplinele studiate și calificativele obținute: copie, dacă actul de studii este emis în limba română, engleză, franceză, spaniolă, italiană; copie şi traducere legalizată (în original) în limba română pentru actele emise în celelalte limbi străine;</w:t>
      </w:r>
    </w:p>
    <w:p w:rsidR="00E17353" w:rsidRPr="001900FD" w:rsidRDefault="001C3EDE" w:rsidP="00BD2CC6">
      <w:p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5.</w:t>
      </w:r>
      <w:r w:rsidRPr="001900FD">
        <w:rPr>
          <w:rFonts w:ascii="Times New Roman" w:hAnsi="Times New Roman" w:cs="Times New Roman"/>
          <w:sz w:val="24"/>
          <w:szCs w:val="24"/>
          <w:lang w:val="ro-RO"/>
        </w:rPr>
        <w:tab/>
      </w:r>
      <w:r w:rsidR="002C4148" w:rsidRPr="001900FD">
        <w:rPr>
          <w:rFonts w:ascii="Times New Roman" w:hAnsi="Times New Roman" w:cs="Times New Roman"/>
          <w:sz w:val="24"/>
          <w:szCs w:val="24"/>
          <w:lang w:val="ro-RO"/>
        </w:rPr>
        <w:t>a</w:t>
      </w:r>
      <w:r w:rsidR="00E17353" w:rsidRPr="001900FD">
        <w:rPr>
          <w:rFonts w:ascii="Times New Roman" w:hAnsi="Times New Roman" w:cs="Times New Roman"/>
          <w:sz w:val="24"/>
          <w:szCs w:val="24"/>
          <w:lang w:val="ro-RO"/>
        </w:rPr>
        <w:t>ctul de studii pentru echivalare/recunoaștere</w:t>
      </w:r>
      <w:r w:rsidR="00862167" w:rsidRPr="001900FD">
        <w:rPr>
          <w:rFonts w:ascii="Times New Roman" w:hAnsi="Times New Roman" w:cs="Times New Roman"/>
          <w:sz w:val="24"/>
          <w:szCs w:val="24"/>
          <w:lang w:val="ro-RO"/>
        </w:rPr>
        <w:t>(diploma de licență</w:t>
      </w:r>
      <w:r w:rsidR="00260BF9" w:rsidRPr="001900FD">
        <w:rPr>
          <w:rFonts w:ascii="Times New Roman" w:hAnsi="Times New Roman" w:cs="Times New Roman"/>
          <w:sz w:val="24"/>
          <w:szCs w:val="24"/>
          <w:lang w:val="ro-RO"/>
        </w:rPr>
        <w:t xml:space="preserve"> şi/sau diploma de master, după caz</w:t>
      </w:r>
      <w:r w:rsidR="00862167" w:rsidRPr="001900FD">
        <w:rPr>
          <w:rFonts w:ascii="Times New Roman" w:hAnsi="Times New Roman" w:cs="Times New Roman"/>
          <w:sz w:val="24"/>
          <w:szCs w:val="24"/>
          <w:lang w:val="ro-RO"/>
        </w:rPr>
        <w:t xml:space="preserve">), </w:t>
      </w:r>
      <w:r w:rsidR="009772B8" w:rsidRPr="001900FD">
        <w:rPr>
          <w:rFonts w:ascii="Times New Roman" w:hAnsi="Times New Roman" w:cs="Times New Roman"/>
          <w:sz w:val="24"/>
          <w:szCs w:val="24"/>
          <w:lang w:val="ro-RO"/>
        </w:rPr>
        <w:t>obţinut pe cale oficială de la universitatea de origine a studenţilor</w:t>
      </w:r>
      <w:r w:rsidR="00E17353" w:rsidRPr="001900FD">
        <w:rPr>
          <w:rFonts w:ascii="Times New Roman" w:hAnsi="Times New Roman" w:cs="Times New Roman"/>
          <w:sz w:val="24"/>
          <w:szCs w:val="24"/>
          <w:lang w:val="ro-RO"/>
        </w:rPr>
        <w:t>:copie, dacă actul de studii este emis în limba română, engleză, franceză, spaniolă, italiană;</w:t>
      </w:r>
      <w:r w:rsidR="001900FD">
        <w:rPr>
          <w:rFonts w:ascii="Times New Roman" w:hAnsi="Times New Roman" w:cs="Times New Roman"/>
          <w:sz w:val="24"/>
          <w:szCs w:val="24"/>
          <w:lang w:val="ro-RO"/>
        </w:rPr>
        <w:t xml:space="preserve"> </w:t>
      </w:r>
      <w:r w:rsidR="00E17353" w:rsidRPr="001900FD">
        <w:rPr>
          <w:rFonts w:ascii="Times New Roman" w:hAnsi="Times New Roman" w:cs="Times New Roman"/>
          <w:sz w:val="24"/>
          <w:szCs w:val="24"/>
          <w:lang w:val="ro-RO"/>
        </w:rPr>
        <w:t>copie şi traducere legalizată (în original) în limba română pentru actele emise în celelalte limbi străine</w:t>
      </w:r>
      <w:r w:rsidR="009772B8" w:rsidRPr="001900FD">
        <w:rPr>
          <w:rFonts w:ascii="Times New Roman" w:hAnsi="Times New Roman" w:cs="Times New Roman"/>
          <w:sz w:val="24"/>
          <w:szCs w:val="24"/>
          <w:lang w:val="ro-RO"/>
        </w:rPr>
        <w:t>;</w:t>
      </w:r>
    </w:p>
    <w:p w:rsidR="003C3C0F" w:rsidRPr="001900FD" w:rsidRDefault="001C3EDE" w:rsidP="003C3C0F">
      <w:p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6</w:t>
      </w:r>
      <w:r w:rsidR="00E17353" w:rsidRPr="001900FD">
        <w:rPr>
          <w:rFonts w:ascii="Times New Roman" w:hAnsi="Times New Roman" w:cs="Times New Roman"/>
          <w:sz w:val="24"/>
          <w:szCs w:val="24"/>
          <w:lang w:val="ro-RO"/>
        </w:rPr>
        <w:t xml:space="preserve">. </w:t>
      </w:r>
      <w:r w:rsidRPr="001900FD">
        <w:rPr>
          <w:rFonts w:ascii="Times New Roman" w:hAnsi="Times New Roman" w:cs="Times New Roman"/>
          <w:sz w:val="24"/>
          <w:szCs w:val="24"/>
          <w:lang w:val="ro-RO"/>
        </w:rPr>
        <w:tab/>
      </w:r>
      <w:r w:rsidR="002C4148" w:rsidRPr="001900FD">
        <w:rPr>
          <w:rFonts w:ascii="Times New Roman" w:hAnsi="Times New Roman" w:cs="Times New Roman"/>
          <w:sz w:val="24"/>
          <w:szCs w:val="24"/>
          <w:lang w:val="ro-RO"/>
        </w:rPr>
        <w:t>s</w:t>
      </w:r>
      <w:r w:rsidR="00E17353" w:rsidRPr="001900FD">
        <w:rPr>
          <w:rFonts w:ascii="Times New Roman" w:hAnsi="Times New Roman" w:cs="Times New Roman"/>
          <w:sz w:val="24"/>
          <w:szCs w:val="24"/>
          <w:lang w:val="ro-RO"/>
        </w:rPr>
        <w:t xml:space="preserve">uplimentul la diplomă / Foaia matricolă sau orice alt document de studiu din care să rezulte </w:t>
      </w:r>
      <w:r w:rsidR="00862167" w:rsidRPr="001900FD">
        <w:rPr>
          <w:rFonts w:ascii="Times New Roman" w:hAnsi="Times New Roman" w:cs="Times New Roman"/>
          <w:sz w:val="24"/>
          <w:szCs w:val="24"/>
          <w:lang w:val="ro-RO"/>
        </w:rPr>
        <w:t>situaţia şcolară pentru anii de studii absolviţi, care să conţină disciplinele, notele, numărul de credite/numărul de puncte şi numărul de ore de curs pentru fiecare disciplină, emis de instituţia de învăţământ superior de la care provine solicitantul</w:t>
      </w:r>
      <w:r w:rsidR="00E17353" w:rsidRPr="001900FD">
        <w:rPr>
          <w:rFonts w:ascii="Times New Roman" w:hAnsi="Times New Roman" w:cs="Times New Roman"/>
          <w:sz w:val="24"/>
          <w:szCs w:val="24"/>
          <w:lang w:val="ro-RO"/>
        </w:rPr>
        <w:t>:copie, dacă actul de studii este emis în limba română, engleză, franceză, spaniolă, italiană;</w:t>
      </w:r>
      <w:r w:rsidR="001900FD">
        <w:rPr>
          <w:rFonts w:ascii="Times New Roman" w:hAnsi="Times New Roman" w:cs="Times New Roman"/>
          <w:sz w:val="24"/>
          <w:szCs w:val="24"/>
          <w:lang w:val="ro-RO"/>
        </w:rPr>
        <w:t xml:space="preserve"> </w:t>
      </w:r>
      <w:r w:rsidR="00E17353" w:rsidRPr="001900FD">
        <w:rPr>
          <w:rFonts w:ascii="Times New Roman" w:hAnsi="Times New Roman" w:cs="Times New Roman"/>
          <w:sz w:val="24"/>
          <w:szCs w:val="24"/>
          <w:lang w:val="ro-RO"/>
        </w:rPr>
        <w:t>copie şi traducere legalizată (în original) în limba română pentru actele emise în celelalte limbi străine</w:t>
      </w:r>
      <w:r w:rsidR="00E80E1D" w:rsidRPr="001900FD">
        <w:rPr>
          <w:rFonts w:ascii="Times New Roman" w:hAnsi="Times New Roman" w:cs="Times New Roman"/>
          <w:sz w:val="24"/>
          <w:szCs w:val="24"/>
          <w:lang w:val="ro-RO"/>
        </w:rPr>
        <w:t>.</w:t>
      </w:r>
    </w:p>
    <w:p w:rsidR="00E772E5" w:rsidRPr="001900FD" w:rsidRDefault="007079DE" w:rsidP="00E772E5">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(2) </w:t>
      </w:r>
      <w:r w:rsidR="00E772E5" w:rsidRPr="001900FD">
        <w:rPr>
          <w:rFonts w:ascii="Times New Roman" w:hAnsi="Times New Roman" w:cs="Times New Roman"/>
          <w:sz w:val="24"/>
          <w:szCs w:val="24"/>
          <w:lang w:val="ro-RO"/>
        </w:rPr>
        <w:t xml:space="preserve">Lista statelor pentru care se solicită apostilarea sau supralegalizarea se regăsește pe site-ul </w:t>
      </w:r>
      <w:r w:rsidR="009E05DA" w:rsidRPr="001900FD">
        <w:rPr>
          <w:rFonts w:ascii="Times New Roman" w:hAnsi="Times New Roman" w:cs="Times New Roman"/>
          <w:sz w:val="24"/>
          <w:szCs w:val="24"/>
          <w:lang w:val="ro-RO"/>
        </w:rPr>
        <w:t>CNRED</w:t>
      </w:r>
      <w:r w:rsidR="00E772E5" w:rsidRPr="001900FD">
        <w:rPr>
          <w:rFonts w:ascii="Times New Roman" w:hAnsi="Times New Roman" w:cs="Times New Roman"/>
          <w:sz w:val="24"/>
          <w:szCs w:val="24"/>
          <w:lang w:val="ro-RO"/>
        </w:rPr>
        <w:t xml:space="preserve"> cu toate modificările si adăugirile ulterioare. </w:t>
      </w:r>
    </w:p>
    <w:p w:rsidR="00260BF9" w:rsidRPr="001900FD" w:rsidRDefault="00260BF9" w:rsidP="00260BF9">
      <w:pPr>
        <w:jc w:val="both"/>
        <w:rPr>
          <w:rFonts w:ascii="Times New Roman" w:hAnsi="Times New Roman" w:cs="Times New Roman"/>
          <w:color w:val="FF0000"/>
          <w:sz w:val="24"/>
          <w:szCs w:val="24"/>
          <w:lang w:val="ro-RO"/>
        </w:rPr>
      </w:pPr>
    </w:p>
    <w:p w:rsidR="00260BF9" w:rsidRPr="001900FD" w:rsidRDefault="00260BF9" w:rsidP="00260BF9">
      <w:pPr>
        <w:jc w:val="both"/>
        <w:rPr>
          <w:rFonts w:ascii="Times New Roman" w:hAnsi="Times New Roman" w:cs="Times New Roman"/>
          <w:b/>
          <w:bCs/>
          <w:sz w:val="24"/>
          <w:szCs w:val="24"/>
          <w:lang w:val="ro-RO"/>
        </w:rPr>
      </w:pPr>
      <w:r w:rsidRPr="001900FD">
        <w:rPr>
          <w:rFonts w:ascii="Times New Roman" w:hAnsi="Times New Roman" w:cs="Times New Roman"/>
          <w:b/>
          <w:bCs/>
          <w:sz w:val="24"/>
          <w:szCs w:val="24"/>
          <w:lang w:val="ro-RO"/>
        </w:rPr>
        <w:t>Art. 5</w:t>
      </w:r>
      <w:r w:rsidR="008F6640" w:rsidRPr="001900FD">
        <w:rPr>
          <w:rFonts w:ascii="Times New Roman" w:hAnsi="Times New Roman" w:cs="Times New Roman"/>
          <w:b/>
          <w:bCs/>
          <w:sz w:val="24"/>
          <w:szCs w:val="24"/>
          <w:lang w:val="ro-RO"/>
        </w:rPr>
        <w:t>.</w:t>
      </w:r>
    </w:p>
    <w:p w:rsidR="00FB7B64" w:rsidRPr="001900FD" w:rsidRDefault="007079DE" w:rsidP="009772B8">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FB7B64" w:rsidRPr="001900FD">
        <w:rPr>
          <w:rFonts w:ascii="Times New Roman" w:hAnsi="Times New Roman" w:cs="Times New Roman"/>
          <w:sz w:val="24"/>
          <w:szCs w:val="24"/>
          <w:lang w:val="ro-RO"/>
        </w:rPr>
        <w:t xml:space="preserve">Aceste documente vor fi depuse de studenţi la Departamentul de Relații Internaționale al </w:t>
      </w:r>
      <w:r w:rsidR="009E05DA" w:rsidRPr="001900FD">
        <w:rPr>
          <w:rFonts w:ascii="Times New Roman" w:hAnsi="Times New Roman" w:cs="Times New Roman"/>
          <w:sz w:val="24"/>
          <w:szCs w:val="24"/>
          <w:lang w:val="ro-RO"/>
        </w:rPr>
        <w:t>UPB</w:t>
      </w:r>
      <w:r w:rsidR="00FB7B64" w:rsidRPr="001900FD">
        <w:rPr>
          <w:rFonts w:ascii="Times New Roman" w:hAnsi="Times New Roman" w:cs="Times New Roman"/>
          <w:sz w:val="24"/>
          <w:szCs w:val="24"/>
          <w:lang w:val="ro-RO"/>
        </w:rPr>
        <w:t>.</w:t>
      </w:r>
    </w:p>
    <w:p w:rsidR="00FB7B64" w:rsidRPr="001900FD" w:rsidRDefault="007079DE" w:rsidP="00DA1D4D">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(2) </w:t>
      </w:r>
      <w:r w:rsidR="00FB7B64" w:rsidRPr="001900FD">
        <w:rPr>
          <w:rFonts w:ascii="Times New Roman" w:hAnsi="Times New Roman" w:cs="Times New Roman"/>
          <w:sz w:val="24"/>
          <w:szCs w:val="24"/>
          <w:lang w:val="ro-RO"/>
        </w:rPr>
        <w:t xml:space="preserve">Dosarul astfel constituit este transmis de către Departamentul de Relații Internaționale al </w:t>
      </w:r>
      <w:r w:rsidR="009E05DA" w:rsidRPr="001900FD">
        <w:rPr>
          <w:rFonts w:ascii="Times New Roman" w:hAnsi="Times New Roman" w:cs="Times New Roman"/>
          <w:sz w:val="24"/>
          <w:szCs w:val="24"/>
          <w:lang w:val="ro-RO"/>
        </w:rPr>
        <w:t>UPB</w:t>
      </w:r>
      <w:r w:rsidR="00FB7B64" w:rsidRPr="001900FD">
        <w:rPr>
          <w:rFonts w:ascii="Times New Roman" w:hAnsi="Times New Roman" w:cs="Times New Roman"/>
          <w:sz w:val="24"/>
          <w:szCs w:val="24"/>
          <w:lang w:val="ro-RO"/>
        </w:rPr>
        <w:t xml:space="preserve"> către Ministerul Educaţiei şi Cercetării în vederea obţinerii scrisorii de accept</w:t>
      </w:r>
      <w:r w:rsidR="008F67EF" w:rsidRPr="001900FD">
        <w:rPr>
          <w:rFonts w:ascii="Times New Roman" w:hAnsi="Times New Roman" w:cs="Times New Roman"/>
          <w:sz w:val="24"/>
          <w:szCs w:val="24"/>
          <w:lang w:val="ro-RO"/>
        </w:rPr>
        <w:t>are</w:t>
      </w:r>
      <w:r w:rsidR="00FB7B64" w:rsidRPr="001900FD">
        <w:rPr>
          <w:rFonts w:ascii="Times New Roman" w:hAnsi="Times New Roman" w:cs="Times New Roman"/>
          <w:sz w:val="24"/>
          <w:szCs w:val="24"/>
          <w:lang w:val="ro-RO"/>
        </w:rPr>
        <w:t xml:space="preserve"> la studiu. </w:t>
      </w:r>
    </w:p>
    <w:p w:rsidR="00610CAE" w:rsidRPr="001900FD" w:rsidRDefault="00610CAE" w:rsidP="00DA1D4D">
      <w:pPr>
        <w:jc w:val="both"/>
        <w:rPr>
          <w:rFonts w:ascii="Times New Roman" w:hAnsi="Times New Roman" w:cs="Times New Roman"/>
          <w:sz w:val="24"/>
          <w:szCs w:val="24"/>
          <w:lang w:val="ro-RO"/>
        </w:rPr>
      </w:pPr>
    </w:p>
    <w:p w:rsidR="00DA1D4D" w:rsidRPr="001900FD" w:rsidRDefault="00DA1D4D" w:rsidP="00DA1D4D">
      <w:pPr>
        <w:jc w:val="both"/>
        <w:rPr>
          <w:rFonts w:ascii="Times New Roman" w:hAnsi="Times New Roman" w:cs="Times New Roman"/>
          <w:b/>
          <w:bCs/>
          <w:sz w:val="24"/>
          <w:szCs w:val="24"/>
          <w:lang w:val="ro-RO"/>
        </w:rPr>
      </w:pPr>
      <w:r w:rsidRPr="001900FD">
        <w:rPr>
          <w:rFonts w:ascii="Times New Roman" w:hAnsi="Times New Roman" w:cs="Times New Roman"/>
          <w:b/>
          <w:bCs/>
          <w:sz w:val="24"/>
          <w:szCs w:val="24"/>
          <w:lang w:val="ro-RO"/>
        </w:rPr>
        <w:t xml:space="preserve">Art. </w:t>
      </w:r>
      <w:r w:rsidR="00260BF9" w:rsidRPr="001900FD">
        <w:rPr>
          <w:rFonts w:ascii="Times New Roman" w:hAnsi="Times New Roman" w:cs="Times New Roman"/>
          <w:b/>
          <w:bCs/>
          <w:sz w:val="24"/>
          <w:szCs w:val="24"/>
          <w:lang w:val="ro-RO"/>
        </w:rPr>
        <w:t>6</w:t>
      </w:r>
    </w:p>
    <w:p w:rsidR="00DA1D4D" w:rsidRPr="001900FD" w:rsidRDefault="007079DE" w:rsidP="00DA1D4D">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DA1D4D" w:rsidRPr="001900FD">
        <w:rPr>
          <w:rFonts w:ascii="Times New Roman" w:hAnsi="Times New Roman" w:cs="Times New Roman"/>
          <w:sz w:val="24"/>
          <w:szCs w:val="24"/>
          <w:lang w:val="ro-RO"/>
        </w:rPr>
        <w:t>Inmatricularea si gestiunea scolarităţii pentru s</w:t>
      </w:r>
      <w:r w:rsidR="00DA1D4D" w:rsidRPr="001900FD">
        <w:rPr>
          <w:rFonts w:ascii="Times New Roman" w:eastAsia="Calibri" w:hAnsi="Times New Roman" w:cs="Times New Roman"/>
          <w:sz w:val="24"/>
          <w:szCs w:val="24"/>
          <w:lang w:val="ro-RO"/>
        </w:rPr>
        <w:t xml:space="preserve">tudenţii care fac obiectul acordurilor menţionate la Art. </w:t>
      </w:r>
      <w:r w:rsidR="005E0D5C" w:rsidRPr="001900FD">
        <w:rPr>
          <w:rFonts w:ascii="Times New Roman" w:eastAsia="Calibri" w:hAnsi="Times New Roman" w:cs="Times New Roman"/>
          <w:sz w:val="24"/>
          <w:szCs w:val="24"/>
          <w:lang w:val="ro-RO"/>
        </w:rPr>
        <w:t>2</w:t>
      </w:r>
      <w:r w:rsidR="00DA1D4D" w:rsidRPr="001900FD">
        <w:rPr>
          <w:rFonts w:ascii="Times New Roman" w:eastAsia="Calibri" w:hAnsi="Times New Roman" w:cs="Times New Roman"/>
          <w:sz w:val="24"/>
          <w:szCs w:val="24"/>
          <w:lang w:val="ro-RO"/>
        </w:rPr>
        <w:t>, alin. (1) se realizează de către facultatea unde este organizat programul de studii la care sunt înscrişi respectivii studenţi.</w:t>
      </w:r>
    </w:p>
    <w:p w:rsidR="00DA1D4D" w:rsidRPr="001900FD" w:rsidRDefault="00DA1D4D" w:rsidP="00610CAE">
      <w:pPr>
        <w:rPr>
          <w:rFonts w:ascii="Times New Roman" w:hAnsi="Times New Roman" w:cs="Times New Roman"/>
          <w:color w:val="0070C0"/>
          <w:sz w:val="24"/>
          <w:szCs w:val="24"/>
          <w:lang w:val="ro-RO"/>
        </w:rPr>
      </w:pPr>
    </w:p>
    <w:p w:rsidR="00F4583C" w:rsidRPr="001900FD" w:rsidRDefault="00F4583C" w:rsidP="00610CAE">
      <w:pPr>
        <w:rPr>
          <w:rFonts w:ascii="Times New Roman" w:hAnsi="Times New Roman" w:cs="Times New Roman"/>
          <w:color w:val="0070C0"/>
          <w:sz w:val="24"/>
          <w:szCs w:val="24"/>
          <w:lang w:val="ro-RO"/>
        </w:rPr>
      </w:pPr>
    </w:p>
    <w:p w:rsidR="00E12546" w:rsidRPr="001900FD" w:rsidRDefault="00E12546" w:rsidP="00610CAE">
      <w:pPr>
        <w:rPr>
          <w:rFonts w:ascii="Times New Roman" w:hAnsi="Times New Roman" w:cs="Times New Roman"/>
          <w:color w:val="0070C0"/>
          <w:sz w:val="24"/>
          <w:szCs w:val="24"/>
          <w:lang w:val="ro-RO"/>
        </w:rPr>
      </w:pPr>
    </w:p>
    <w:p w:rsidR="00E12546" w:rsidRPr="001900FD" w:rsidRDefault="00E12546" w:rsidP="00610CAE">
      <w:pPr>
        <w:rPr>
          <w:rFonts w:ascii="Times New Roman" w:hAnsi="Times New Roman" w:cs="Times New Roman"/>
          <w:color w:val="0070C0"/>
          <w:sz w:val="24"/>
          <w:szCs w:val="24"/>
          <w:lang w:val="ro-RO"/>
        </w:rPr>
      </w:pPr>
    </w:p>
    <w:p w:rsidR="00E12546" w:rsidRPr="001900FD" w:rsidRDefault="00E12546" w:rsidP="00610CAE">
      <w:pPr>
        <w:rPr>
          <w:rFonts w:ascii="Times New Roman" w:hAnsi="Times New Roman" w:cs="Times New Roman"/>
          <w:color w:val="0070C0"/>
          <w:sz w:val="24"/>
          <w:szCs w:val="24"/>
          <w:lang w:val="ro-RO"/>
        </w:rPr>
      </w:pPr>
    </w:p>
    <w:p w:rsidR="00E12546" w:rsidRPr="001900FD" w:rsidRDefault="00E12546" w:rsidP="00610CAE">
      <w:pPr>
        <w:rPr>
          <w:rFonts w:ascii="Times New Roman" w:hAnsi="Times New Roman" w:cs="Times New Roman"/>
          <w:color w:val="0070C0"/>
          <w:sz w:val="24"/>
          <w:szCs w:val="24"/>
          <w:lang w:val="ro-RO"/>
        </w:rPr>
      </w:pPr>
    </w:p>
    <w:p w:rsidR="00E12546" w:rsidRPr="001900FD" w:rsidRDefault="00E12546" w:rsidP="00610CAE">
      <w:pPr>
        <w:rPr>
          <w:rFonts w:ascii="Times New Roman" w:hAnsi="Times New Roman" w:cs="Times New Roman"/>
          <w:color w:val="0070C0"/>
          <w:sz w:val="24"/>
          <w:szCs w:val="24"/>
          <w:lang w:val="ro-RO"/>
        </w:rPr>
      </w:pPr>
    </w:p>
    <w:p w:rsidR="00610CAE" w:rsidRPr="001900FD" w:rsidRDefault="00EE2A83" w:rsidP="00EE2A83">
      <w:pPr>
        <w:ind w:left="360"/>
        <w:jc w:val="center"/>
        <w:rPr>
          <w:rFonts w:ascii="Times New Roman" w:hAnsi="Times New Roman" w:cs="Times New Roman"/>
          <w:b/>
          <w:bCs/>
          <w:sz w:val="28"/>
          <w:szCs w:val="28"/>
          <w:lang w:val="ro-RO"/>
        </w:rPr>
      </w:pPr>
      <w:r w:rsidRPr="001900FD">
        <w:rPr>
          <w:rFonts w:ascii="Times New Roman" w:hAnsi="Times New Roman" w:cs="Times New Roman"/>
          <w:b/>
          <w:bCs/>
          <w:sz w:val="28"/>
          <w:szCs w:val="28"/>
          <w:lang w:val="ro-RO"/>
        </w:rPr>
        <w:lastRenderedPageBreak/>
        <w:t xml:space="preserve">III.  </w:t>
      </w:r>
      <w:r w:rsidR="00610CAE" w:rsidRPr="001900FD">
        <w:rPr>
          <w:rFonts w:ascii="Times New Roman" w:hAnsi="Times New Roman" w:cs="Times New Roman"/>
          <w:b/>
          <w:bCs/>
          <w:sz w:val="28"/>
          <w:szCs w:val="28"/>
          <w:lang w:val="ro-RO"/>
        </w:rPr>
        <w:t xml:space="preserve">RECUNOAŞTEREA PERIOADELOR DE STUDII </w:t>
      </w:r>
      <w:r w:rsidR="00B11313" w:rsidRPr="001900FD">
        <w:rPr>
          <w:rFonts w:ascii="Times New Roman" w:hAnsi="Times New Roman" w:cs="Times New Roman"/>
          <w:b/>
          <w:bCs/>
          <w:sz w:val="28"/>
          <w:szCs w:val="28"/>
          <w:lang w:val="ro-RO"/>
        </w:rPr>
        <w:t>IN CAZUL</w:t>
      </w:r>
      <w:r w:rsidR="00610CAE" w:rsidRPr="001900FD">
        <w:rPr>
          <w:rFonts w:ascii="Times New Roman" w:hAnsi="Times New Roman" w:cs="Times New Roman"/>
          <w:b/>
          <w:bCs/>
          <w:sz w:val="28"/>
          <w:szCs w:val="28"/>
          <w:lang w:val="ro-RO"/>
        </w:rPr>
        <w:t xml:space="preserve"> MOBILITĂŢILOR NEREGLEMENTATE</w:t>
      </w:r>
    </w:p>
    <w:p w:rsidR="00610CAE" w:rsidRPr="001900FD" w:rsidRDefault="00610CAE" w:rsidP="00610CAE">
      <w:pPr>
        <w:rPr>
          <w:lang w:val="ro-RO"/>
        </w:rPr>
      </w:pPr>
    </w:p>
    <w:p w:rsidR="00610CAE" w:rsidRPr="001900FD" w:rsidRDefault="00610CAE" w:rsidP="00610CAE">
      <w:pPr>
        <w:rPr>
          <w:lang w:val="ro-RO"/>
        </w:rPr>
      </w:pPr>
    </w:p>
    <w:p w:rsidR="000A08FF" w:rsidRPr="001900FD" w:rsidRDefault="00610CAE" w:rsidP="000A08FF">
      <w:pPr>
        <w:jc w:val="both"/>
        <w:rPr>
          <w:rFonts w:ascii="Times New Roman" w:hAnsi="Times New Roman" w:cs="Times New Roman"/>
          <w:sz w:val="24"/>
          <w:szCs w:val="24"/>
          <w:lang w:val="ro-RO"/>
        </w:rPr>
      </w:pPr>
      <w:r w:rsidRPr="001900FD">
        <w:rPr>
          <w:rFonts w:ascii="Times New Roman" w:hAnsi="Times New Roman" w:cs="Times New Roman"/>
          <w:b/>
          <w:bCs/>
          <w:sz w:val="24"/>
          <w:szCs w:val="24"/>
          <w:lang w:val="ro-RO"/>
        </w:rPr>
        <w:t xml:space="preserve">Art. </w:t>
      </w:r>
      <w:r w:rsidR="00260BF9" w:rsidRPr="001900FD">
        <w:rPr>
          <w:rFonts w:ascii="Times New Roman" w:hAnsi="Times New Roman" w:cs="Times New Roman"/>
          <w:b/>
          <w:bCs/>
          <w:sz w:val="24"/>
          <w:szCs w:val="24"/>
          <w:lang w:val="ro-RO"/>
        </w:rPr>
        <w:t>7</w:t>
      </w:r>
      <w:r w:rsidRPr="001900FD">
        <w:rPr>
          <w:rFonts w:ascii="Times New Roman" w:hAnsi="Times New Roman" w:cs="Times New Roman"/>
          <w:b/>
          <w:bCs/>
          <w:sz w:val="24"/>
          <w:szCs w:val="24"/>
          <w:lang w:val="ro-RO"/>
        </w:rPr>
        <w:t>.</w:t>
      </w:r>
    </w:p>
    <w:p w:rsidR="00610CAE" w:rsidRPr="001900FD" w:rsidRDefault="000A08FF" w:rsidP="004E4FC3">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610CAE" w:rsidRPr="001900FD">
        <w:rPr>
          <w:rFonts w:ascii="Times New Roman" w:hAnsi="Times New Roman" w:cs="Times New Roman"/>
          <w:sz w:val="24"/>
          <w:szCs w:val="24"/>
          <w:lang w:val="ro-RO"/>
        </w:rPr>
        <w:t xml:space="preserve">Procedura prevăzută în </w:t>
      </w:r>
      <w:r w:rsidR="00090975" w:rsidRPr="001900FD">
        <w:rPr>
          <w:rFonts w:ascii="Times New Roman" w:hAnsi="Times New Roman" w:cs="Times New Roman"/>
          <w:sz w:val="24"/>
          <w:szCs w:val="24"/>
          <w:lang w:val="ro-RO"/>
        </w:rPr>
        <w:t>prezentul regulament</w:t>
      </w:r>
      <w:r w:rsidR="00610CAE" w:rsidRPr="001900FD">
        <w:rPr>
          <w:rFonts w:ascii="Times New Roman" w:hAnsi="Times New Roman" w:cs="Times New Roman"/>
          <w:sz w:val="24"/>
          <w:szCs w:val="24"/>
          <w:lang w:val="ro-RO"/>
        </w:rPr>
        <w:t xml:space="preserve"> se aplică </w:t>
      </w:r>
      <w:r w:rsidR="009E05DA" w:rsidRPr="001900FD">
        <w:rPr>
          <w:rFonts w:ascii="Times New Roman" w:hAnsi="Times New Roman" w:cs="Times New Roman"/>
          <w:sz w:val="24"/>
          <w:szCs w:val="24"/>
          <w:lang w:val="ro-RO"/>
        </w:rPr>
        <w:t>prin intermediul Centrului de  Resurse,  Informare  şi  D</w:t>
      </w:r>
      <w:r w:rsidR="00610CAE" w:rsidRPr="001900FD">
        <w:rPr>
          <w:rFonts w:ascii="Times New Roman" w:hAnsi="Times New Roman" w:cs="Times New Roman"/>
          <w:sz w:val="24"/>
          <w:szCs w:val="24"/>
          <w:lang w:val="ro-RO"/>
        </w:rPr>
        <w:t>ocumentare  (CRID).</w:t>
      </w:r>
    </w:p>
    <w:p w:rsidR="00610CAE" w:rsidRPr="001900FD" w:rsidRDefault="000A08FF" w:rsidP="004E4FC3">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(2) </w:t>
      </w:r>
      <w:r w:rsidR="00610CAE" w:rsidRPr="001900FD">
        <w:rPr>
          <w:rFonts w:ascii="Times New Roman" w:hAnsi="Times New Roman" w:cs="Times New Roman"/>
          <w:sz w:val="24"/>
          <w:szCs w:val="24"/>
          <w:lang w:val="ro-RO"/>
        </w:rPr>
        <w:t>Centrul de Resurse de Informare şi Documentare, se constituie la nivelul UniversităţiiPOLITEHNICA din Bucureşti.</w:t>
      </w:r>
    </w:p>
    <w:p w:rsidR="00A46D35" w:rsidRPr="001900FD" w:rsidRDefault="00A46D35" w:rsidP="004E4FC3">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(3) </w:t>
      </w:r>
      <w:r w:rsidR="007A3802" w:rsidRPr="001900FD">
        <w:rPr>
          <w:rFonts w:ascii="Times New Roman" w:hAnsi="Times New Roman" w:cs="Times New Roman"/>
          <w:sz w:val="24"/>
          <w:szCs w:val="24"/>
          <w:lang w:val="ro-RO"/>
        </w:rPr>
        <w:t xml:space="preserve">CRID este format din Prorectorul însărcinat cu activitatea de internaţionalizare a </w:t>
      </w:r>
      <w:r w:rsidR="008C74AC" w:rsidRPr="001900FD">
        <w:rPr>
          <w:rFonts w:ascii="Times New Roman" w:hAnsi="Times New Roman" w:cs="Times New Roman"/>
          <w:sz w:val="24"/>
          <w:szCs w:val="24"/>
          <w:lang w:val="ro-RO"/>
        </w:rPr>
        <w:t>Universității POLITEHNICA din Bucureşti</w:t>
      </w:r>
      <w:r w:rsidR="007A3802" w:rsidRPr="001900FD">
        <w:rPr>
          <w:rFonts w:ascii="Times New Roman" w:hAnsi="Times New Roman" w:cs="Times New Roman"/>
          <w:sz w:val="24"/>
          <w:szCs w:val="24"/>
          <w:lang w:val="ro-RO"/>
        </w:rPr>
        <w:t xml:space="preserve">, </w:t>
      </w:r>
      <w:r w:rsidR="005A4AA3" w:rsidRPr="001900FD">
        <w:rPr>
          <w:rFonts w:ascii="Times New Roman" w:hAnsi="Times New Roman" w:cs="Times New Roman"/>
          <w:sz w:val="24"/>
          <w:szCs w:val="24"/>
          <w:lang w:val="ro-RO"/>
        </w:rPr>
        <w:t xml:space="preserve">Directorul Departamentului de Relații Internaționale, </w:t>
      </w:r>
      <w:r w:rsidR="007A3802" w:rsidRPr="001900FD">
        <w:rPr>
          <w:rFonts w:ascii="Times New Roman" w:hAnsi="Times New Roman" w:cs="Times New Roman"/>
          <w:sz w:val="24"/>
          <w:szCs w:val="24"/>
          <w:lang w:val="ro-RO"/>
        </w:rPr>
        <w:t xml:space="preserve">Secretarul şef al universităţii şi 3 cadre didactice desemnate pentru o perioadă de 4 ani de către Consiliul de administraţie </w:t>
      </w:r>
      <w:r w:rsidR="005A4AA3" w:rsidRPr="001900FD">
        <w:rPr>
          <w:rFonts w:ascii="Times New Roman" w:hAnsi="Times New Roman" w:cs="Times New Roman"/>
          <w:sz w:val="24"/>
          <w:szCs w:val="24"/>
          <w:lang w:val="ro-RO"/>
        </w:rPr>
        <w:t xml:space="preserve">al </w:t>
      </w:r>
      <w:r w:rsidR="008C74AC" w:rsidRPr="001900FD">
        <w:rPr>
          <w:rFonts w:ascii="Times New Roman" w:hAnsi="Times New Roman" w:cs="Times New Roman"/>
          <w:sz w:val="24"/>
          <w:szCs w:val="24"/>
          <w:lang w:val="ro-RO"/>
        </w:rPr>
        <w:t>a Universității POLITEHNICA din Bucureşti</w:t>
      </w:r>
      <w:r w:rsidR="005A4AA3" w:rsidRPr="001900FD">
        <w:rPr>
          <w:rFonts w:ascii="Times New Roman" w:hAnsi="Times New Roman" w:cs="Times New Roman"/>
          <w:sz w:val="24"/>
          <w:szCs w:val="24"/>
          <w:lang w:val="ro-RO"/>
        </w:rPr>
        <w:t>.</w:t>
      </w:r>
    </w:p>
    <w:p w:rsidR="003A4979" w:rsidRPr="001900FD" w:rsidRDefault="00A46D35" w:rsidP="004E4FC3">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w:t>
      </w:r>
      <w:r w:rsidR="005A4AA3" w:rsidRPr="001900FD">
        <w:rPr>
          <w:rFonts w:ascii="Times New Roman" w:hAnsi="Times New Roman" w:cs="Times New Roman"/>
          <w:sz w:val="24"/>
          <w:szCs w:val="24"/>
          <w:lang w:val="ro-RO"/>
        </w:rPr>
        <w:t>4</w:t>
      </w:r>
      <w:r w:rsidRPr="001900FD">
        <w:rPr>
          <w:rFonts w:ascii="Times New Roman" w:hAnsi="Times New Roman" w:cs="Times New Roman"/>
          <w:sz w:val="24"/>
          <w:szCs w:val="24"/>
          <w:lang w:val="ro-RO"/>
        </w:rPr>
        <w:t xml:space="preserve">) </w:t>
      </w:r>
      <w:r w:rsidR="00610CAE" w:rsidRPr="001900FD">
        <w:rPr>
          <w:rFonts w:ascii="Times New Roman" w:hAnsi="Times New Roman" w:cs="Times New Roman"/>
          <w:sz w:val="24"/>
          <w:szCs w:val="24"/>
          <w:lang w:val="ro-RO"/>
        </w:rPr>
        <w:t>C</w:t>
      </w:r>
      <w:r w:rsidR="007A3802" w:rsidRPr="001900FD">
        <w:rPr>
          <w:rFonts w:ascii="Times New Roman" w:hAnsi="Times New Roman" w:cs="Times New Roman"/>
          <w:sz w:val="24"/>
          <w:szCs w:val="24"/>
          <w:lang w:val="ro-RO"/>
        </w:rPr>
        <w:t xml:space="preserve">onducerea CRID este asigurată de către Prorectorul </w:t>
      </w:r>
      <w:r w:rsidR="005A4AA3" w:rsidRPr="001900FD">
        <w:rPr>
          <w:rFonts w:ascii="Times New Roman" w:hAnsi="Times New Roman" w:cs="Times New Roman"/>
          <w:sz w:val="24"/>
          <w:szCs w:val="24"/>
          <w:lang w:val="ro-RO"/>
        </w:rPr>
        <w:t xml:space="preserve">însărcinat cu activitatea de internaţionalizare a </w:t>
      </w:r>
      <w:r w:rsidR="008C74AC" w:rsidRPr="001900FD">
        <w:rPr>
          <w:rFonts w:ascii="Times New Roman" w:hAnsi="Times New Roman" w:cs="Times New Roman"/>
          <w:sz w:val="24"/>
          <w:szCs w:val="24"/>
          <w:lang w:val="ro-RO"/>
        </w:rPr>
        <w:t>Universității POLITEHNICA din Bucureşti</w:t>
      </w:r>
      <w:r w:rsidR="005A4AA3" w:rsidRPr="001900FD">
        <w:rPr>
          <w:rFonts w:ascii="Times New Roman" w:hAnsi="Times New Roman" w:cs="Times New Roman"/>
          <w:sz w:val="24"/>
          <w:szCs w:val="24"/>
          <w:lang w:val="ro-RO"/>
        </w:rPr>
        <w:t>.</w:t>
      </w:r>
    </w:p>
    <w:p w:rsidR="003A4979" w:rsidRPr="001900FD" w:rsidRDefault="005A4AA3" w:rsidP="004E4FC3">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(5) Gestiunea administrativă a CRID este asigurată la nivelul</w:t>
      </w:r>
      <w:r w:rsidR="007A3802" w:rsidRPr="001900FD">
        <w:rPr>
          <w:rFonts w:ascii="Times New Roman" w:hAnsi="Times New Roman" w:cs="Times New Roman"/>
          <w:sz w:val="24"/>
          <w:szCs w:val="24"/>
          <w:lang w:val="ro-RO"/>
        </w:rPr>
        <w:t xml:space="preserve"> Departamentului de Relații Internaționale</w:t>
      </w:r>
      <w:r w:rsidR="00184DF2" w:rsidRPr="001900FD">
        <w:rPr>
          <w:rFonts w:ascii="Times New Roman" w:hAnsi="Times New Roman" w:cs="Times New Roman"/>
          <w:sz w:val="24"/>
          <w:szCs w:val="24"/>
          <w:lang w:val="ro-RO"/>
        </w:rPr>
        <w:t>.</w:t>
      </w:r>
    </w:p>
    <w:p w:rsidR="007A3802" w:rsidRPr="001900FD" w:rsidRDefault="007A3802" w:rsidP="003A4979">
      <w:pPr>
        <w:jc w:val="both"/>
        <w:rPr>
          <w:rFonts w:ascii="Times New Roman" w:hAnsi="Times New Roman" w:cs="Times New Roman"/>
          <w:b/>
          <w:bCs/>
          <w:sz w:val="24"/>
          <w:szCs w:val="24"/>
          <w:highlight w:val="lightGray"/>
          <w:lang w:val="ro-RO"/>
        </w:rPr>
      </w:pPr>
    </w:p>
    <w:p w:rsidR="007A1E9A" w:rsidRPr="001900FD" w:rsidRDefault="00610CAE" w:rsidP="003A4979">
      <w:pPr>
        <w:jc w:val="both"/>
        <w:rPr>
          <w:rFonts w:ascii="Times New Roman" w:hAnsi="Times New Roman" w:cs="Times New Roman"/>
          <w:sz w:val="24"/>
          <w:szCs w:val="24"/>
          <w:lang w:val="ro-RO"/>
        </w:rPr>
      </w:pPr>
      <w:r w:rsidRPr="001900FD">
        <w:rPr>
          <w:rFonts w:ascii="Times New Roman" w:hAnsi="Times New Roman" w:cs="Times New Roman"/>
          <w:b/>
          <w:bCs/>
          <w:sz w:val="24"/>
          <w:szCs w:val="24"/>
          <w:lang w:val="ro-RO"/>
        </w:rPr>
        <w:t xml:space="preserve">Art. </w:t>
      </w:r>
      <w:r w:rsidR="00260BF9" w:rsidRPr="001900FD">
        <w:rPr>
          <w:rFonts w:ascii="Times New Roman" w:hAnsi="Times New Roman" w:cs="Times New Roman"/>
          <w:b/>
          <w:bCs/>
          <w:sz w:val="24"/>
          <w:szCs w:val="24"/>
          <w:lang w:val="ro-RO"/>
        </w:rPr>
        <w:t>8</w:t>
      </w:r>
      <w:r w:rsidRPr="001900FD">
        <w:rPr>
          <w:rFonts w:ascii="Times New Roman" w:hAnsi="Times New Roman" w:cs="Times New Roman"/>
          <w:b/>
          <w:bCs/>
          <w:sz w:val="24"/>
          <w:szCs w:val="24"/>
          <w:lang w:val="ro-RO"/>
        </w:rPr>
        <w:t>.</w:t>
      </w:r>
    </w:p>
    <w:p w:rsidR="00610CAE" w:rsidRPr="001900FD" w:rsidRDefault="00D45D21" w:rsidP="003A4979">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610CAE" w:rsidRPr="001900FD">
        <w:rPr>
          <w:rFonts w:ascii="Times New Roman" w:hAnsi="Times New Roman" w:cs="Times New Roman"/>
          <w:sz w:val="24"/>
          <w:szCs w:val="24"/>
          <w:lang w:val="ro-RO"/>
        </w:rPr>
        <w:t>CRID are următoarele atribuţii:</w:t>
      </w:r>
    </w:p>
    <w:p w:rsidR="00610CAE" w:rsidRPr="001900FD" w:rsidRDefault="00610CAE" w:rsidP="007A1E9A">
      <w:p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a)</w:t>
      </w:r>
      <w:r w:rsidRPr="001900FD">
        <w:rPr>
          <w:rFonts w:ascii="Times New Roman" w:hAnsi="Times New Roman" w:cs="Times New Roman"/>
          <w:sz w:val="24"/>
          <w:szCs w:val="24"/>
          <w:lang w:val="ro-RO"/>
        </w:rPr>
        <w:tab/>
      </w:r>
      <w:r w:rsidR="00090975" w:rsidRPr="001900FD">
        <w:rPr>
          <w:rFonts w:ascii="Times New Roman" w:hAnsi="Times New Roman" w:cs="Times New Roman"/>
          <w:sz w:val="24"/>
          <w:szCs w:val="24"/>
          <w:lang w:val="ro-RO"/>
        </w:rPr>
        <w:t xml:space="preserve">Gestionează activitatea de </w:t>
      </w:r>
      <w:r w:rsidRPr="001900FD">
        <w:rPr>
          <w:rFonts w:ascii="Times New Roman" w:hAnsi="Times New Roman" w:cs="Times New Roman"/>
          <w:sz w:val="24"/>
          <w:szCs w:val="24"/>
          <w:lang w:val="ro-RO"/>
        </w:rPr>
        <w:t>recunoaşte</w:t>
      </w:r>
      <w:r w:rsidR="00090975" w:rsidRPr="001900FD">
        <w:rPr>
          <w:rFonts w:ascii="Times New Roman" w:hAnsi="Times New Roman" w:cs="Times New Roman"/>
          <w:sz w:val="24"/>
          <w:szCs w:val="24"/>
          <w:lang w:val="ro-RO"/>
        </w:rPr>
        <w:t>re a</w:t>
      </w:r>
      <w:r w:rsidRPr="001900FD">
        <w:rPr>
          <w:rFonts w:ascii="Times New Roman" w:hAnsi="Times New Roman" w:cs="Times New Roman"/>
          <w:sz w:val="24"/>
          <w:szCs w:val="24"/>
          <w:lang w:val="ro-RO"/>
        </w:rPr>
        <w:t xml:space="preserve"> perioadel</w:t>
      </w:r>
      <w:r w:rsidR="00090975" w:rsidRPr="001900FD">
        <w:rPr>
          <w:rFonts w:ascii="Times New Roman" w:hAnsi="Times New Roman" w:cs="Times New Roman"/>
          <w:sz w:val="24"/>
          <w:szCs w:val="24"/>
          <w:lang w:val="ro-RO"/>
        </w:rPr>
        <w:t>or</w:t>
      </w:r>
      <w:r w:rsidRPr="001900FD">
        <w:rPr>
          <w:rFonts w:ascii="Times New Roman" w:hAnsi="Times New Roman" w:cs="Times New Roman"/>
          <w:sz w:val="24"/>
          <w:szCs w:val="24"/>
          <w:lang w:val="ro-RO"/>
        </w:rPr>
        <w:t xml:space="preserve"> de studii efectuate anterior într-o instituţie de învăţământ superior din străinătate</w:t>
      </w:r>
      <w:r w:rsidR="00090975" w:rsidRPr="001900FD">
        <w:rPr>
          <w:rFonts w:ascii="Times New Roman" w:hAnsi="Times New Roman" w:cs="Times New Roman"/>
          <w:sz w:val="24"/>
          <w:szCs w:val="24"/>
          <w:lang w:val="ro-RO"/>
        </w:rPr>
        <w:t>.</w:t>
      </w:r>
    </w:p>
    <w:p w:rsidR="00610CAE" w:rsidRPr="001900FD" w:rsidRDefault="00610CAE" w:rsidP="007A1E9A">
      <w:p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b)</w:t>
      </w:r>
      <w:r w:rsidRPr="001900FD">
        <w:rPr>
          <w:rFonts w:ascii="Times New Roman" w:hAnsi="Times New Roman" w:cs="Times New Roman"/>
          <w:sz w:val="24"/>
          <w:szCs w:val="24"/>
          <w:lang w:val="ro-RO"/>
        </w:rPr>
        <w:tab/>
      </w:r>
      <w:r w:rsidR="00D45D21" w:rsidRPr="001900FD">
        <w:rPr>
          <w:rFonts w:ascii="Times New Roman" w:hAnsi="Times New Roman" w:cs="Times New Roman"/>
          <w:sz w:val="24"/>
          <w:szCs w:val="24"/>
          <w:lang w:val="ro-RO"/>
        </w:rPr>
        <w:t xml:space="preserve">Stabileşte documentele suplimentare care pot fi solicitate faţă de cele prevăzute la </w:t>
      </w:r>
      <w:r w:rsidR="00B11313" w:rsidRPr="001900FD">
        <w:rPr>
          <w:rFonts w:ascii="Times New Roman" w:hAnsi="Times New Roman" w:cs="Times New Roman"/>
          <w:sz w:val="24"/>
          <w:szCs w:val="24"/>
          <w:lang w:val="ro-RO"/>
        </w:rPr>
        <w:t>Ar</w:t>
      </w:r>
      <w:r w:rsidR="00D45D21" w:rsidRPr="001900FD">
        <w:rPr>
          <w:rFonts w:ascii="Times New Roman" w:hAnsi="Times New Roman" w:cs="Times New Roman"/>
          <w:sz w:val="24"/>
          <w:szCs w:val="24"/>
          <w:lang w:val="ro-RO"/>
        </w:rPr>
        <w:t>t. </w:t>
      </w:r>
      <w:r w:rsidR="00986598" w:rsidRPr="001900FD">
        <w:rPr>
          <w:rFonts w:ascii="Times New Roman" w:hAnsi="Times New Roman" w:cs="Times New Roman"/>
          <w:sz w:val="24"/>
          <w:szCs w:val="24"/>
          <w:lang w:val="ro-RO"/>
        </w:rPr>
        <w:t>1</w:t>
      </w:r>
      <w:r w:rsidR="00E156B5" w:rsidRPr="001900FD">
        <w:rPr>
          <w:rFonts w:ascii="Times New Roman" w:hAnsi="Times New Roman" w:cs="Times New Roman"/>
          <w:sz w:val="24"/>
          <w:szCs w:val="24"/>
          <w:lang w:val="ro-RO"/>
        </w:rPr>
        <w:t>4</w:t>
      </w:r>
      <w:r w:rsidR="00986598" w:rsidRPr="001900FD">
        <w:rPr>
          <w:rFonts w:ascii="Times New Roman" w:hAnsi="Times New Roman" w:cs="Times New Roman"/>
          <w:sz w:val="24"/>
          <w:szCs w:val="24"/>
          <w:lang w:val="ro-RO"/>
        </w:rPr>
        <w:t xml:space="preserve"> şi </w:t>
      </w:r>
      <w:r w:rsidR="000802F1" w:rsidRPr="001900FD">
        <w:rPr>
          <w:rFonts w:ascii="Times New Roman" w:hAnsi="Times New Roman" w:cs="Times New Roman"/>
          <w:sz w:val="24"/>
          <w:szCs w:val="24"/>
          <w:lang w:val="ro-RO"/>
        </w:rPr>
        <w:t xml:space="preserve">Art. </w:t>
      </w:r>
      <w:r w:rsidR="00986598" w:rsidRPr="001900FD">
        <w:rPr>
          <w:rFonts w:ascii="Times New Roman" w:hAnsi="Times New Roman" w:cs="Times New Roman"/>
          <w:sz w:val="24"/>
          <w:szCs w:val="24"/>
          <w:lang w:val="ro-RO"/>
        </w:rPr>
        <w:t>1</w:t>
      </w:r>
      <w:r w:rsidR="00E156B5" w:rsidRPr="001900FD">
        <w:rPr>
          <w:rFonts w:ascii="Times New Roman" w:hAnsi="Times New Roman" w:cs="Times New Roman"/>
          <w:sz w:val="24"/>
          <w:szCs w:val="24"/>
          <w:lang w:val="ro-RO"/>
        </w:rPr>
        <w:t>5</w:t>
      </w:r>
      <w:r w:rsidR="00D45D21" w:rsidRPr="001900FD">
        <w:rPr>
          <w:rFonts w:ascii="Times New Roman" w:hAnsi="Times New Roman" w:cs="Times New Roman"/>
          <w:sz w:val="24"/>
          <w:szCs w:val="24"/>
          <w:lang w:val="ro-RO"/>
        </w:rPr>
        <w:t xml:space="preserve"> din prezentul Regulament</w:t>
      </w:r>
      <w:r w:rsidR="00090975" w:rsidRPr="001900FD">
        <w:rPr>
          <w:rFonts w:ascii="Times New Roman" w:hAnsi="Times New Roman" w:cs="Times New Roman"/>
          <w:sz w:val="24"/>
          <w:szCs w:val="24"/>
          <w:lang w:val="ro-RO"/>
        </w:rPr>
        <w:t>.</w:t>
      </w:r>
    </w:p>
    <w:p w:rsidR="00610CAE" w:rsidRPr="001900FD" w:rsidRDefault="00610CAE" w:rsidP="007A1E9A">
      <w:p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c)</w:t>
      </w:r>
      <w:r w:rsidRPr="001900FD">
        <w:rPr>
          <w:rFonts w:ascii="Times New Roman" w:hAnsi="Times New Roman" w:cs="Times New Roman"/>
          <w:sz w:val="24"/>
          <w:szCs w:val="24"/>
          <w:lang w:val="ro-RO"/>
        </w:rPr>
        <w:tab/>
      </w:r>
      <w:r w:rsidR="00090975" w:rsidRPr="001900FD">
        <w:rPr>
          <w:rFonts w:ascii="Times New Roman" w:hAnsi="Times New Roman" w:cs="Times New Roman"/>
          <w:sz w:val="24"/>
          <w:szCs w:val="24"/>
          <w:lang w:val="ro-RO"/>
        </w:rPr>
        <w:t>Primeşte</w:t>
      </w:r>
      <w:r w:rsidRPr="001900FD">
        <w:rPr>
          <w:rFonts w:ascii="Times New Roman" w:hAnsi="Times New Roman" w:cs="Times New Roman"/>
          <w:sz w:val="24"/>
          <w:szCs w:val="24"/>
          <w:lang w:val="ro-RO"/>
        </w:rPr>
        <w:t xml:space="preserve"> dosarele de recunoaştere a perioadelor de studii </w:t>
      </w:r>
      <w:r w:rsidR="00090975" w:rsidRPr="001900FD">
        <w:rPr>
          <w:rFonts w:ascii="Times New Roman" w:hAnsi="Times New Roman" w:cs="Times New Roman"/>
          <w:sz w:val="24"/>
          <w:szCs w:val="24"/>
          <w:lang w:val="ro-RO"/>
        </w:rPr>
        <w:t>şi</w:t>
      </w:r>
      <w:r w:rsidRPr="001900FD">
        <w:rPr>
          <w:rFonts w:ascii="Times New Roman" w:hAnsi="Times New Roman" w:cs="Times New Roman"/>
          <w:sz w:val="24"/>
          <w:szCs w:val="24"/>
          <w:lang w:val="ro-RO"/>
        </w:rPr>
        <w:t xml:space="preserve"> le înaintează spreevaluare comisiilor de specialitate </w:t>
      </w:r>
      <w:r w:rsidR="00E25975" w:rsidRPr="001900FD">
        <w:rPr>
          <w:rFonts w:ascii="Times New Roman" w:hAnsi="Times New Roman" w:cs="Times New Roman"/>
          <w:sz w:val="24"/>
          <w:szCs w:val="24"/>
          <w:lang w:val="ro-RO"/>
        </w:rPr>
        <w:t>constituite</w:t>
      </w:r>
      <w:r w:rsidRPr="001900FD">
        <w:rPr>
          <w:rFonts w:ascii="Times New Roman" w:hAnsi="Times New Roman" w:cs="Times New Roman"/>
          <w:sz w:val="24"/>
          <w:szCs w:val="24"/>
          <w:lang w:val="ro-RO"/>
        </w:rPr>
        <w:t>la nivel de facultăţi sau la nivel de şcoală doctorală, după caz</w:t>
      </w:r>
      <w:r w:rsidR="00090975" w:rsidRPr="001900FD">
        <w:rPr>
          <w:rFonts w:ascii="Times New Roman" w:hAnsi="Times New Roman" w:cs="Times New Roman"/>
          <w:sz w:val="24"/>
          <w:szCs w:val="24"/>
          <w:lang w:val="ro-RO"/>
        </w:rPr>
        <w:t>.</w:t>
      </w:r>
    </w:p>
    <w:p w:rsidR="00610CAE" w:rsidRPr="001900FD" w:rsidRDefault="00090975" w:rsidP="00AA6855">
      <w:pPr>
        <w:tabs>
          <w:tab w:val="left" w:pos="1843"/>
        </w:tabs>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d</w:t>
      </w:r>
      <w:r w:rsidR="00610CAE" w:rsidRPr="001900FD">
        <w:rPr>
          <w:rFonts w:ascii="Times New Roman" w:hAnsi="Times New Roman" w:cs="Times New Roman"/>
          <w:sz w:val="24"/>
          <w:szCs w:val="24"/>
          <w:lang w:val="ro-RO"/>
        </w:rPr>
        <w:t>)</w:t>
      </w:r>
      <w:r w:rsidR="00610CAE" w:rsidRPr="001900FD">
        <w:rPr>
          <w:rFonts w:ascii="Times New Roman" w:hAnsi="Times New Roman" w:cs="Times New Roman"/>
          <w:sz w:val="24"/>
          <w:szCs w:val="24"/>
          <w:lang w:val="ro-RO"/>
        </w:rPr>
        <w:tab/>
      </w:r>
      <w:r w:rsidR="00E25975" w:rsidRPr="001900FD">
        <w:rPr>
          <w:rFonts w:ascii="Times New Roman" w:hAnsi="Times New Roman" w:cs="Times New Roman"/>
          <w:sz w:val="24"/>
          <w:szCs w:val="24"/>
          <w:lang w:val="ro-RO"/>
        </w:rPr>
        <w:t>Transmite către Ministerul Educaţiei şi Cercetării</w:t>
      </w:r>
      <w:r w:rsidR="00F81A3B">
        <w:rPr>
          <w:rFonts w:ascii="Times New Roman" w:hAnsi="Times New Roman" w:cs="Times New Roman"/>
          <w:sz w:val="24"/>
          <w:szCs w:val="24"/>
          <w:lang w:val="ro-RO"/>
        </w:rPr>
        <w:t xml:space="preserve"> </w:t>
      </w:r>
      <w:r w:rsidR="00E25975" w:rsidRPr="001900FD">
        <w:rPr>
          <w:rFonts w:ascii="Times New Roman" w:hAnsi="Times New Roman" w:cs="Times New Roman"/>
          <w:sz w:val="24"/>
          <w:szCs w:val="24"/>
          <w:lang w:val="ro-RO"/>
        </w:rPr>
        <w:t xml:space="preserve">dosarele de recunoaştere a perioadelor de studii </w:t>
      </w:r>
      <w:r w:rsidR="001949E2" w:rsidRPr="001900FD">
        <w:rPr>
          <w:rFonts w:ascii="Times New Roman" w:hAnsi="Times New Roman" w:cs="Times New Roman"/>
          <w:sz w:val="24"/>
          <w:szCs w:val="24"/>
          <w:lang w:val="ro-RO"/>
        </w:rPr>
        <w:t>şi</w:t>
      </w:r>
      <w:r w:rsidR="00610CAE" w:rsidRPr="001900FD">
        <w:rPr>
          <w:rFonts w:ascii="Times New Roman" w:hAnsi="Times New Roman" w:cs="Times New Roman"/>
          <w:sz w:val="24"/>
          <w:szCs w:val="24"/>
          <w:lang w:val="ro-RO"/>
        </w:rPr>
        <w:t xml:space="preserve"> a actelor de studii obţinute în străinătate</w:t>
      </w:r>
      <w:r w:rsidR="001949E2" w:rsidRPr="001900FD">
        <w:rPr>
          <w:rFonts w:ascii="Times New Roman" w:hAnsi="Times New Roman" w:cs="Times New Roman"/>
          <w:sz w:val="24"/>
          <w:szCs w:val="24"/>
          <w:lang w:val="ro-RO"/>
        </w:rPr>
        <w:t>,</w:t>
      </w:r>
      <w:r w:rsidR="00610CAE" w:rsidRPr="001900FD">
        <w:rPr>
          <w:rFonts w:ascii="Times New Roman" w:hAnsi="Times New Roman" w:cs="Times New Roman"/>
          <w:sz w:val="24"/>
          <w:szCs w:val="24"/>
          <w:lang w:val="ro-RO"/>
        </w:rPr>
        <w:t xml:space="preserve"> care corespund celor 3 cicluri de studii universitare tip Bologna implementate în România</w:t>
      </w:r>
      <w:r w:rsidR="005A24FB" w:rsidRPr="001900FD">
        <w:rPr>
          <w:rFonts w:ascii="Times New Roman" w:hAnsi="Times New Roman" w:cs="Times New Roman"/>
          <w:sz w:val="24"/>
          <w:szCs w:val="24"/>
          <w:lang w:val="ro-RO"/>
        </w:rPr>
        <w:t>, în vederea obţinerii scrisorilor de accept</w:t>
      </w:r>
      <w:r w:rsidR="008F67EF" w:rsidRPr="001900FD">
        <w:rPr>
          <w:rFonts w:ascii="Times New Roman" w:hAnsi="Times New Roman" w:cs="Times New Roman"/>
          <w:sz w:val="24"/>
          <w:szCs w:val="24"/>
          <w:lang w:val="ro-RO"/>
        </w:rPr>
        <w:t>are la studii</w:t>
      </w:r>
      <w:r w:rsidR="001949E2" w:rsidRPr="001900FD">
        <w:rPr>
          <w:rFonts w:ascii="Times New Roman" w:hAnsi="Times New Roman" w:cs="Times New Roman"/>
          <w:sz w:val="24"/>
          <w:szCs w:val="24"/>
          <w:lang w:val="ro-RO"/>
        </w:rPr>
        <w:t>.</w:t>
      </w:r>
    </w:p>
    <w:p w:rsidR="003A4979" w:rsidRPr="001900FD" w:rsidRDefault="003A4979" w:rsidP="003A4979">
      <w:pPr>
        <w:jc w:val="both"/>
        <w:rPr>
          <w:rFonts w:ascii="Times New Roman" w:hAnsi="Times New Roman" w:cs="Times New Roman"/>
          <w:sz w:val="24"/>
          <w:szCs w:val="24"/>
          <w:lang w:val="ro-RO"/>
        </w:rPr>
      </w:pPr>
    </w:p>
    <w:p w:rsidR="00610CAE" w:rsidRPr="001900FD" w:rsidRDefault="00D45D21" w:rsidP="00D45D21">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(2) </w:t>
      </w:r>
      <w:r w:rsidR="00610CAE" w:rsidRPr="001900FD">
        <w:rPr>
          <w:rFonts w:ascii="Times New Roman" w:hAnsi="Times New Roman" w:cs="Times New Roman"/>
          <w:sz w:val="24"/>
          <w:szCs w:val="24"/>
          <w:lang w:val="ro-RO"/>
        </w:rPr>
        <w:t>În cazul în care actele de studii obţinute în străinătate nu corespund celor 3 cicluri de studii universitare tip Bologna implementate în România, CRID va echivala, în vederea continuării studiilor universitare în România:</w:t>
      </w:r>
    </w:p>
    <w:p w:rsidR="00610CAE" w:rsidRPr="001900FD" w:rsidRDefault="00610CAE" w:rsidP="004E4FC3">
      <w:p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a)</w:t>
      </w:r>
      <w:r w:rsidRPr="001900FD">
        <w:rPr>
          <w:rFonts w:ascii="Times New Roman" w:hAnsi="Times New Roman" w:cs="Times New Roman"/>
          <w:sz w:val="24"/>
          <w:szCs w:val="24"/>
          <w:lang w:val="ro-RO"/>
        </w:rPr>
        <w:tab/>
        <w:t>diplome de licenţă care nu corespund numărului minim de credite/ani de studii aprobat prin hotărâre a Guvernului pentru programele de studii şi specializările acreditate/autorizate din România;</w:t>
      </w:r>
    </w:p>
    <w:p w:rsidR="003A4979" w:rsidRPr="001900FD" w:rsidRDefault="00610CAE" w:rsidP="004E4FC3">
      <w:p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b)</w:t>
      </w:r>
      <w:r w:rsidRPr="001900FD">
        <w:rPr>
          <w:rFonts w:ascii="Times New Roman" w:hAnsi="Times New Roman" w:cs="Times New Roman"/>
          <w:sz w:val="24"/>
          <w:szCs w:val="24"/>
          <w:lang w:val="ro-RO"/>
        </w:rPr>
        <w:tab/>
        <w:t>diplome de master a căror durată, cumulată cu durata ciclului de studii universitarede licenţă, nu atestă cel puţin 300 de credite de studii transferabile</w:t>
      </w:r>
      <w:r w:rsidR="009E05DA" w:rsidRPr="001900FD">
        <w:rPr>
          <w:rFonts w:ascii="Times New Roman" w:hAnsi="Times New Roman" w:cs="Times New Roman"/>
          <w:sz w:val="24"/>
          <w:szCs w:val="24"/>
          <w:lang w:val="ro-RO"/>
        </w:rPr>
        <w:t xml:space="preserve"> (ECTS)</w:t>
      </w:r>
      <w:r w:rsidRPr="001900FD">
        <w:rPr>
          <w:rFonts w:ascii="Times New Roman" w:hAnsi="Times New Roman" w:cs="Times New Roman"/>
          <w:sz w:val="24"/>
          <w:szCs w:val="24"/>
          <w:lang w:val="ro-RO"/>
        </w:rPr>
        <w:t xml:space="preserve"> /</w:t>
      </w:r>
      <w:r w:rsidR="000802F1" w:rsidRPr="001900FD">
        <w:rPr>
          <w:rFonts w:ascii="Times New Roman" w:hAnsi="Times New Roman" w:cs="Times New Roman"/>
          <w:sz w:val="24"/>
          <w:szCs w:val="24"/>
          <w:lang w:val="ro-RO"/>
        </w:rPr>
        <w:t>A</w:t>
      </w:r>
      <w:r w:rsidRPr="001900FD">
        <w:rPr>
          <w:rFonts w:ascii="Times New Roman" w:hAnsi="Times New Roman" w:cs="Times New Roman"/>
          <w:sz w:val="24"/>
          <w:szCs w:val="24"/>
          <w:lang w:val="ro-RO"/>
        </w:rPr>
        <w:t>rt. 2 OMECTS nr. 3677/2012).</w:t>
      </w:r>
    </w:p>
    <w:p w:rsidR="003A4979" w:rsidRPr="001900FD" w:rsidRDefault="003A4979" w:rsidP="003A4979">
      <w:pPr>
        <w:jc w:val="both"/>
        <w:rPr>
          <w:rFonts w:ascii="Times New Roman" w:hAnsi="Times New Roman" w:cs="Times New Roman"/>
          <w:sz w:val="24"/>
          <w:szCs w:val="24"/>
          <w:lang w:val="ro-RO"/>
        </w:rPr>
      </w:pPr>
    </w:p>
    <w:p w:rsidR="0088236A" w:rsidRPr="001900FD" w:rsidRDefault="0088236A" w:rsidP="003A4979">
      <w:pPr>
        <w:jc w:val="both"/>
        <w:rPr>
          <w:rFonts w:ascii="Times New Roman" w:hAnsi="Times New Roman" w:cs="Times New Roman"/>
          <w:sz w:val="24"/>
          <w:szCs w:val="24"/>
          <w:lang w:val="ro-RO"/>
        </w:rPr>
      </w:pPr>
    </w:p>
    <w:p w:rsidR="0088236A" w:rsidRPr="001900FD" w:rsidRDefault="0088236A" w:rsidP="003A4979">
      <w:pPr>
        <w:jc w:val="both"/>
        <w:rPr>
          <w:rFonts w:ascii="Times New Roman" w:hAnsi="Times New Roman" w:cs="Times New Roman"/>
          <w:sz w:val="24"/>
          <w:szCs w:val="24"/>
          <w:lang w:val="ro-RO"/>
        </w:rPr>
      </w:pPr>
    </w:p>
    <w:p w:rsidR="00D45D21" w:rsidRPr="001900FD" w:rsidRDefault="00D45D21" w:rsidP="00D45D21">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lastRenderedPageBreak/>
        <w:t xml:space="preserve">Art. </w:t>
      </w:r>
      <w:r w:rsidR="00260BF9" w:rsidRPr="001900FD">
        <w:rPr>
          <w:rFonts w:ascii="Times New Roman" w:hAnsi="Times New Roman" w:cs="Times New Roman"/>
          <w:b/>
          <w:sz w:val="24"/>
          <w:szCs w:val="24"/>
          <w:lang w:val="ro-RO"/>
        </w:rPr>
        <w:t>9</w:t>
      </w:r>
      <w:r w:rsidRPr="001900FD">
        <w:rPr>
          <w:rFonts w:ascii="Times New Roman" w:hAnsi="Times New Roman" w:cs="Times New Roman"/>
          <w:b/>
          <w:sz w:val="24"/>
          <w:szCs w:val="24"/>
          <w:lang w:val="ro-RO"/>
        </w:rPr>
        <w:t xml:space="preserve">. </w:t>
      </w:r>
    </w:p>
    <w:p w:rsidR="004E4FC3" w:rsidRPr="001900FD" w:rsidRDefault="00D45D21" w:rsidP="004E4FC3">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4E4FC3" w:rsidRPr="001900FD">
        <w:rPr>
          <w:rFonts w:ascii="Times New Roman" w:hAnsi="Times New Roman" w:cs="Times New Roman"/>
          <w:sz w:val="24"/>
          <w:szCs w:val="24"/>
          <w:lang w:val="ro-RO"/>
        </w:rPr>
        <w:t xml:space="preserve">In vederea recunoaşterii </w:t>
      </w:r>
      <w:r w:rsidR="00337E76" w:rsidRPr="001900FD">
        <w:rPr>
          <w:rFonts w:ascii="Times New Roman" w:hAnsi="Times New Roman" w:cs="Times New Roman"/>
          <w:sz w:val="24"/>
          <w:szCs w:val="24"/>
          <w:lang w:val="ro-RO"/>
        </w:rPr>
        <w:t xml:space="preserve">unei </w:t>
      </w:r>
      <w:r w:rsidR="004E4FC3" w:rsidRPr="001900FD">
        <w:rPr>
          <w:rFonts w:ascii="Times New Roman" w:hAnsi="Times New Roman" w:cs="Times New Roman"/>
          <w:sz w:val="24"/>
          <w:szCs w:val="24"/>
          <w:lang w:val="ro-RO"/>
        </w:rPr>
        <w:t xml:space="preserve">perioade de studii efectuate în cadrul unei mobilităţi nereglementate, </w:t>
      </w:r>
      <w:r w:rsidR="00337E76" w:rsidRPr="001900FD">
        <w:rPr>
          <w:rFonts w:ascii="Times New Roman" w:hAnsi="Times New Roman" w:cs="Times New Roman"/>
          <w:sz w:val="24"/>
          <w:szCs w:val="24"/>
          <w:lang w:val="ro-RO"/>
        </w:rPr>
        <w:t xml:space="preserve">CRID solicită </w:t>
      </w:r>
      <w:r w:rsidRPr="001900FD">
        <w:rPr>
          <w:rFonts w:ascii="Times New Roman" w:hAnsi="Times New Roman" w:cs="Times New Roman"/>
          <w:sz w:val="24"/>
          <w:szCs w:val="24"/>
          <w:lang w:val="ro-RO"/>
        </w:rPr>
        <w:t>constitui</w:t>
      </w:r>
      <w:r w:rsidR="00337E76" w:rsidRPr="001900FD">
        <w:rPr>
          <w:rFonts w:ascii="Times New Roman" w:hAnsi="Times New Roman" w:cs="Times New Roman"/>
          <w:sz w:val="24"/>
          <w:szCs w:val="24"/>
          <w:lang w:val="ro-RO"/>
        </w:rPr>
        <w:t>rea</w:t>
      </w:r>
      <w:r w:rsidR="00100E09">
        <w:rPr>
          <w:rFonts w:ascii="Times New Roman" w:hAnsi="Times New Roman" w:cs="Times New Roman"/>
          <w:sz w:val="24"/>
          <w:szCs w:val="24"/>
          <w:lang w:val="ro-RO"/>
        </w:rPr>
        <w:t xml:space="preserve"> </w:t>
      </w:r>
      <w:r w:rsidR="00337E76" w:rsidRPr="001900FD">
        <w:rPr>
          <w:rFonts w:ascii="Times New Roman" w:hAnsi="Times New Roman" w:cs="Times New Roman"/>
          <w:sz w:val="24"/>
          <w:szCs w:val="24"/>
          <w:lang w:val="ro-RO"/>
        </w:rPr>
        <w:t>unei</w:t>
      </w:r>
      <w:r w:rsidR="00100E09">
        <w:rPr>
          <w:rFonts w:ascii="Times New Roman" w:hAnsi="Times New Roman" w:cs="Times New Roman"/>
          <w:sz w:val="24"/>
          <w:szCs w:val="24"/>
          <w:lang w:val="ro-RO"/>
        </w:rPr>
        <w:t xml:space="preserve"> </w:t>
      </w:r>
      <w:r w:rsidRPr="001900FD">
        <w:rPr>
          <w:rFonts w:ascii="Times New Roman" w:hAnsi="Times New Roman" w:cs="Times New Roman"/>
          <w:sz w:val="24"/>
          <w:szCs w:val="24"/>
          <w:lang w:val="ro-RO"/>
        </w:rPr>
        <w:t>comisi</w:t>
      </w:r>
      <w:r w:rsidR="00337E76" w:rsidRPr="001900FD">
        <w:rPr>
          <w:rFonts w:ascii="Times New Roman" w:hAnsi="Times New Roman" w:cs="Times New Roman"/>
          <w:sz w:val="24"/>
          <w:szCs w:val="24"/>
          <w:lang w:val="ro-RO"/>
        </w:rPr>
        <w:t>i</w:t>
      </w:r>
      <w:r w:rsidRPr="001900FD">
        <w:rPr>
          <w:rFonts w:ascii="Times New Roman" w:hAnsi="Times New Roman" w:cs="Times New Roman"/>
          <w:sz w:val="24"/>
          <w:szCs w:val="24"/>
          <w:lang w:val="ro-RO"/>
        </w:rPr>
        <w:t xml:space="preserve"> de specialitate şi </w:t>
      </w:r>
      <w:r w:rsidR="00337E76" w:rsidRPr="001900FD">
        <w:rPr>
          <w:rFonts w:ascii="Times New Roman" w:hAnsi="Times New Roman" w:cs="Times New Roman"/>
          <w:sz w:val="24"/>
          <w:szCs w:val="24"/>
          <w:lang w:val="ro-RO"/>
        </w:rPr>
        <w:t>a unei</w:t>
      </w:r>
      <w:r w:rsidR="00100E09">
        <w:rPr>
          <w:rFonts w:ascii="Times New Roman" w:hAnsi="Times New Roman" w:cs="Times New Roman"/>
          <w:sz w:val="24"/>
          <w:szCs w:val="24"/>
          <w:lang w:val="ro-RO"/>
        </w:rPr>
        <w:t xml:space="preserve"> </w:t>
      </w:r>
      <w:r w:rsidRPr="001900FD">
        <w:rPr>
          <w:rFonts w:ascii="Times New Roman" w:hAnsi="Times New Roman" w:cs="Times New Roman"/>
          <w:sz w:val="24"/>
          <w:szCs w:val="24"/>
          <w:lang w:val="ro-RO"/>
        </w:rPr>
        <w:t>comisi</w:t>
      </w:r>
      <w:r w:rsidR="00337E76" w:rsidRPr="001900FD">
        <w:rPr>
          <w:rFonts w:ascii="Times New Roman" w:hAnsi="Times New Roman" w:cs="Times New Roman"/>
          <w:sz w:val="24"/>
          <w:szCs w:val="24"/>
          <w:lang w:val="ro-RO"/>
        </w:rPr>
        <w:t>i</w:t>
      </w:r>
      <w:r w:rsidRPr="001900FD">
        <w:rPr>
          <w:rFonts w:ascii="Times New Roman" w:hAnsi="Times New Roman" w:cs="Times New Roman"/>
          <w:sz w:val="24"/>
          <w:szCs w:val="24"/>
          <w:lang w:val="ro-RO"/>
        </w:rPr>
        <w:t xml:space="preserve"> de contestaţii </w:t>
      </w:r>
      <w:r w:rsidR="00337E76" w:rsidRPr="001900FD">
        <w:rPr>
          <w:rFonts w:ascii="Times New Roman" w:hAnsi="Times New Roman" w:cs="Times New Roman"/>
          <w:sz w:val="24"/>
          <w:szCs w:val="24"/>
          <w:lang w:val="ro-RO"/>
        </w:rPr>
        <w:t>la nivelul facultăţii</w:t>
      </w:r>
      <w:r w:rsidR="0022210A" w:rsidRPr="001900FD">
        <w:rPr>
          <w:rFonts w:ascii="Times New Roman" w:hAnsi="Times New Roman" w:cs="Times New Roman"/>
          <w:sz w:val="24"/>
          <w:szCs w:val="24"/>
          <w:lang w:val="ro-RO"/>
        </w:rPr>
        <w:t>/şcolii doctorale</w:t>
      </w:r>
      <w:r w:rsidR="00337E76" w:rsidRPr="001900FD">
        <w:rPr>
          <w:rFonts w:ascii="Times New Roman" w:hAnsi="Times New Roman" w:cs="Times New Roman"/>
          <w:sz w:val="24"/>
          <w:szCs w:val="24"/>
          <w:lang w:val="ro-RO"/>
        </w:rPr>
        <w:t xml:space="preserve"> care gestionează </w:t>
      </w:r>
      <w:r w:rsidRPr="001900FD">
        <w:rPr>
          <w:rFonts w:ascii="Times New Roman" w:hAnsi="Times New Roman" w:cs="Times New Roman"/>
          <w:sz w:val="24"/>
          <w:szCs w:val="24"/>
          <w:lang w:val="ro-RO"/>
        </w:rPr>
        <w:t>program</w:t>
      </w:r>
      <w:r w:rsidR="004E4FC3" w:rsidRPr="001900FD">
        <w:rPr>
          <w:rFonts w:ascii="Times New Roman" w:hAnsi="Times New Roman" w:cs="Times New Roman"/>
          <w:sz w:val="24"/>
          <w:szCs w:val="24"/>
          <w:lang w:val="ro-RO"/>
        </w:rPr>
        <w:t>ul</w:t>
      </w:r>
      <w:r w:rsidRPr="001900FD">
        <w:rPr>
          <w:rFonts w:ascii="Times New Roman" w:hAnsi="Times New Roman" w:cs="Times New Roman"/>
          <w:sz w:val="24"/>
          <w:szCs w:val="24"/>
          <w:lang w:val="ro-RO"/>
        </w:rPr>
        <w:t xml:space="preserve"> de studii </w:t>
      </w:r>
      <w:r w:rsidR="004E4FC3" w:rsidRPr="001900FD">
        <w:rPr>
          <w:rFonts w:ascii="Times New Roman" w:hAnsi="Times New Roman" w:cs="Times New Roman"/>
          <w:sz w:val="24"/>
          <w:szCs w:val="24"/>
          <w:lang w:val="ro-RO"/>
        </w:rPr>
        <w:t xml:space="preserve">vizat de respectiva mobilitate. </w:t>
      </w:r>
    </w:p>
    <w:p w:rsidR="00D45D21" w:rsidRPr="001900FD" w:rsidRDefault="00D45D21" w:rsidP="004E4FC3">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(2) </w:t>
      </w:r>
      <w:bookmarkStart w:id="0" w:name="_GoBack"/>
      <w:r w:rsidRPr="001900FD">
        <w:rPr>
          <w:rFonts w:ascii="Times New Roman" w:hAnsi="Times New Roman" w:cs="Times New Roman"/>
          <w:sz w:val="24"/>
          <w:szCs w:val="24"/>
          <w:lang w:val="ro-RO"/>
        </w:rPr>
        <w:t>Componenţa Comisi</w:t>
      </w:r>
      <w:r w:rsidR="00337E76" w:rsidRPr="001900FD">
        <w:rPr>
          <w:rFonts w:ascii="Times New Roman" w:hAnsi="Times New Roman" w:cs="Times New Roman"/>
          <w:sz w:val="24"/>
          <w:szCs w:val="24"/>
          <w:lang w:val="ro-RO"/>
        </w:rPr>
        <w:t>ei</w:t>
      </w:r>
      <w:r w:rsidRPr="001900FD">
        <w:rPr>
          <w:rFonts w:ascii="Times New Roman" w:hAnsi="Times New Roman" w:cs="Times New Roman"/>
          <w:sz w:val="24"/>
          <w:szCs w:val="24"/>
          <w:lang w:val="ro-RO"/>
        </w:rPr>
        <w:t xml:space="preserve"> de specialitate şi a Comisi</w:t>
      </w:r>
      <w:r w:rsidR="00337E76" w:rsidRPr="001900FD">
        <w:rPr>
          <w:rFonts w:ascii="Times New Roman" w:hAnsi="Times New Roman" w:cs="Times New Roman"/>
          <w:sz w:val="24"/>
          <w:szCs w:val="24"/>
          <w:lang w:val="ro-RO"/>
        </w:rPr>
        <w:t>ei</w:t>
      </w:r>
      <w:r w:rsidRPr="001900FD">
        <w:rPr>
          <w:rFonts w:ascii="Times New Roman" w:hAnsi="Times New Roman" w:cs="Times New Roman"/>
          <w:sz w:val="24"/>
          <w:szCs w:val="24"/>
          <w:lang w:val="ro-RO"/>
        </w:rPr>
        <w:t xml:space="preserve"> de contestaţii este </w:t>
      </w:r>
      <w:r w:rsidR="00337E76" w:rsidRPr="001900FD">
        <w:rPr>
          <w:rFonts w:ascii="Times New Roman" w:hAnsi="Times New Roman" w:cs="Times New Roman"/>
          <w:sz w:val="24"/>
          <w:szCs w:val="24"/>
          <w:lang w:val="ro-RO"/>
        </w:rPr>
        <w:t>propusă</w:t>
      </w:r>
      <w:r w:rsidRPr="001900FD">
        <w:rPr>
          <w:rFonts w:ascii="Times New Roman" w:hAnsi="Times New Roman" w:cs="Times New Roman"/>
          <w:sz w:val="24"/>
          <w:szCs w:val="24"/>
          <w:lang w:val="ro-RO"/>
        </w:rPr>
        <w:t xml:space="preserve"> de către </w:t>
      </w:r>
      <w:r w:rsidR="00337E76" w:rsidRPr="001900FD">
        <w:rPr>
          <w:rFonts w:ascii="Times New Roman" w:hAnsi="Times New Roman" w:cs="Times New Roman"/>
          <w:sz w:val="24"/>
          <w:szCs w:val="24"/>
          <w:lang w:val="ro-RO"/>
        </w:rPr>
        <w:t>Biroul Executiv al</w:t>
      </w:r>
      <w:r w:rsidRPr="001900FD">
        <w:rPr>
          <w:rFonts w:ascii="Times New Roman" w:hAnsi="Times New Roman" w:cs="Times New Roman"/>
          <w:sz w:val="24"/>
          <w:szCs w:val="24"/>
          <w:lang w:val="ro-RO"/>
        </w:rPr>
        <w:t xml:space="preserve"> facultăţii</w:t>
      </w:r>
      <w:r w:rsidR="0022210A" w:rsidRPr="001900FD">
        <w:rPr>
          <w:rFonts w:ascii="Times New Roman" w:hAnsi="Times New Roman" w:cs="Times New Roman"/>
          <w:sz w:val="24"/>
          <w:szCs w:val="24"/>
          <w:lang w:val="ro-RO"/>
        </w:rPr>
        <w:t>/</w:t>
      </w:r>
      <w:r w:rsidR="00424024" w:rsidRPr="001900FD">
        <w:rPr>
          <w:rFonts w:ascii="Times New Roman" w:hAnsi="Times New Roman" w:cs="Times New Roman"/>
          <w:sz w:val="24"/>
          <w:szCs w:val="24"/>
          <w:lang w:val="ro-RO"/>
        </w:rPr>
        <w:t>Consiliul Scolii Doctorale</w:t>
      </w:r>
      <w:r w:rsidRPr="001900FD">
        <w:rPr>
          <w:rFonts w:ascii="Times New Roman" w:hAnsi="Times New Roman" w:cs="Times New Roman"/>
          <w:sz w:val="24"/>
          <w:szCs w:val="24"/>
          <w:lang w:val="ro-RO"/>
        </w:rPr>
        <w:t>.</w:t>
      </w:r>
    </w:p>
    <w:bookmarkEnd w:id="0"/>
    <w:p w:rsidR="00D45D21" w:rsidRPr="001900FD" w:rsidRDefault="00D45D21" w:rsidP="00337E76">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(3) Propune</w:t>
      </w:r>
      <w:r w:rsidR="00337E76" w:rsidRPr="001900FD">
        <w:rPr>
          <w:rFonts w:ascii="Times New Roman" w:hAnsi="Times New Roman" w:cs="Times New Roman"/>
          <w:sz w:val="24"/>
          <w:szCs w:val="24"/>
          <w:lang w:val="ro-RO"/>
        </w:rPr>
        <w:t>a</w:t>
      </w:r>
      <w:r w:rsidRPr="001900FD">
        <w:rPr>
          <w:rFonts w:ascii="Times New Roman" w:hAnsi="Times New Roman" w:cs="Times New Roman"/>
          <w:sz w:val="24"/>
          <w:szCs w:val="24"/>
          <w:lang w:val="ro-RO"/>
        </w:rPr>
        <w:t xml:space="preserve"> privind componenţa comisiilor </w:t>
      </w:r>
      <w:r w:rsidR="00337E76" w:rsidRPr="001900FD">
        <w:rPr>
          <w:rFonts w:ascii="Times New Roman" w:hAnsi="Times New Roman" w:cs="Times New Roman"/>
          <w:sz w:val="24"/>
          <w:szCs w:val="24"/>
          <w:lang w:val="ro-RO"/>
        </w:rPr>
        <w:t>este</w:t>
      </w:r>
      <w:r w:rsidRPr="001900FD">
        <w:rPr>
          <w:rFonts w:ascii="Times New Roman" w:hAnsi="Times New Roman" w:cs="Times New Roman"/>
          <w:sz w:val="24"/>
          <w:szCs w:val="24"/>
          <w:lang w:val="ro-RO"/>
        </w:rPr>
        <w:t xml:space="preserve"> avizat</w:t>
      </w:r>
      <w:r w:rsidR="00337E76" w:rsidRPr="001900FD">
        <w:rPr>
          <w:rFonts w:ascii="Times New Roman" w:hAnsi="Times New Roman" w:cs="Times New Roman"/>
          <w:sz w:val="24"/>
          <w:szCs w:val="24"/>
          <w:lang w:val="ro-RO"/>
        </w:rPr>
        <w:t>ă</w:t>
      </w:r>
      <w:r w:rsidRPr="001900FD">
        <w:rPr>
          <w:rFonts w:ascii="Times New Roman" w:hAnsi="Times New Roman" w:cs="Times New Roman"/>
          <w:sz w:val="24"/>
          <w:szCs w:val="24"/>
          <w:lang w:val="ro-RO"/>
        </w:rPr>
        <w:t xml:space="preserve"> de </w:t>
      </w:r>
      <w:r w:rsidR="00337E76" w:rsidRPr="001900FD">
        <w:rPr>
          <w:rFonts w:ascii="Times New Roman" w:hAnsi="Times New Roman" w:cs="Times New Roman"/>
          <w:sz w:val="24"/>
          <w:szCs w:val="24"/>
          <w:lang w:val="ro-RO"/>
        </w:rPr>
        <w:t>Prorectorul însărcinat cu activitatea de internaţionalizare</w:t>
      </w:r>
      <w:r w:rsidRPr="001900FD">
        <w:rPr>
          <w:rFonts w:ascii="Times New Roman" w:hAnsi="Times New Roman" w:cs="Times New Roman"/>
          <w:sz w:val="24"/>
          <w:szCs w:val="24"/>
          <w:lang w:val="ro-RO"/>
        </w:rPr>
        <w:t xml:space="preserve">, iar numirea în comisii se face prin </w:t>
      </w:r>
      <w:r w:rsidR="00337E76" w:rsidRPr="001900FD">
        <w:rPr>
          <w:rFonts w:ascii="Times New Roman" w:hAnsi="Times New Roman" w:cs="Times New Roman"/>
          <w:sz w:val="24"/>
          <w:szCs w:val="24"/>
          <w:lang w:val="ro-RO"/>
        </w:rPr>
        <w:t>Decizie a Consiliului de Admin</w:t>
      </w:r>
      <w:r w:rsidR="007B43C9" w:rsidRPr="001900FD">
        <w:rPr>
          <w:rFonts w:ascii="Times New Roman" w:hAnsi="Times New Roman" w:cs="Times New Roman"/>
          <w:sz w:val="24"/>
          <w:szCs w:val="24"/>
          <w:lang w:val="ro-RO"/>
        </w:rPr>
        <w:t>i</w:t>
      </w:r>
      <w:r w:rsidR="00337E76" w:rsidRPr="001900FD">
        <w:rPr>
          <w:rFonts w:ascii="Times New Roman" w:hAnsi="Times New Roman" w:cs="Times New Roman"/>
          <w:sz w:val="24"/>
          <w:szCs w:val="24"/>
          <w:lang w:val="ro-RO"/>
        </w:rPr>
        <w:t>straţie</w:t>
      </w:r>
      <w:r w:rsidRPr="001900FD">
        <w:rPr>
          <w:rFonts w:ascii="Times New Roman" w:hAnsi="Times New Roman" w:cs="Times New Roman"/>
          <w:sz w:val="24"/>
          <w:szCs w:val="24"/>
          <w:lang w:val="ro-RO"/>
        </w:rPr>
        <w:t>.</w:t>
      </w:r>
    </w:p>
    <w:p w:rsidR="00D45D21" w:rsidRPr="001900FD" w:rsidRDefault="00D45D21" w:rsidP="00337E76">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w:t>
      </w:r>
      <w:r w:rsidR="00337E76" w:rsidRPr="001900FD">
        <w:rPr>
          <w:rFonts w:ascii="Times New Roman" w:hAnsi="Times New Roman" w:cs="Times New Roman"/>
          <w:sz w:val="24"/>
          <w:szCs w:val="24"/>
          <w:lang w:val="ro-RO"/>
        </w:rPr>
        <w:t>4</w:t>
      </w:r>
      <w:r w:rsidRPr="001900FD">
        <w:rPr>
          <w:rFonts w:ascii="Times New Roman" w:hAnsi="Times New Roman" w:cs="Times New Roman"/>
          <w:sz w:val="24"/>
          <w:szCs w:val="24"/>
          <w:lang w:val="ro-RO"/>
        </w:rPr>
        <w:t>) Din comisiile de contestaţii nu pot face parte membrii comisiilor de specialitate.</w:t>
      </w:r>
    </w:p>
    <w:p w:rsidR="00D45D21" w:rsidRPr="001900FD" w:rsidRDefault="00D45D21" w:rsidP="00337E76">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w:t>
      </w:r>
      <w:r w:rsidR="00337E76" w:rsidRPr="001900FD">
        <w:rPr>
          <w:rFonts w:ascii="Times New Roman" w:hAnsi="Times New Roman" w:cs="Times New Roman"/>
          <w:sz w:val="24"/>
          <w:szCs w:val="24"/>
          <w:lang w:val="ro-RO"/>
        </w:rPr>
        <w:t>5</w:t>
      </w:r>
      <w:r w:rsidRPr="001900FD">
        <w:rPr>
          <w:rFonts w:ascii="Times New Roman" w:hAnsi="Times New Roman" w:cs="Times New Roman"/>
          <w:sz w:val="24"/>
          <w:szCs w:val="24"/>
          <w:lang w:val="ro-RO"/>
        </w:rPr>
        <w:t>) Hotărârile în CRID</w:t>
      </w:r>
      <w:r w:rsidR="00337E76" w:rsidRPr="001900FD">
        <w:rPr>
          <w:rFonts w:ascii="Times New Roman" w:hAnsi="Times New Roman" w:cs="Times New Roman"/>
          <w:sz w:val="24"/>
          <w:szCs w:val="24"/>
          <w:lang w:val="ro-RO"/>
        </w:rPr>
        <w:t>,</w:t>
      </w:r>
      <w:r w:rsidRPr="001900FD">
        <w:rPr>
          <w:rFonts w:ascii="Times New Roman" w:hAnsi="Times New Roman" w:cs="Times New Roman"/>
          <w:sz w:val="24"/>
          <w:szCs w:val="24"/>
          <w:lang w:val="ro-RO"/>
        </w:rPr>
        <w:t xml:space="preserve"> în comisiile de specialitate </w:t>
      </w:r>
      <w:r w:rsidR="00337E76" w:rsidRPr="001900FD">
        <w:rPr>
          <w:rFonts w:ascii="Times New Roman" w:hAnsi="Times New Roman" w:cs="Times New Roman"/>
          <w:sz w:val="24"/>
          <w:szCs w:val="24"/>
          <w:lang w:val="ro-RO"/>
        </w:rPr>
        <w:t xml:space="preserve">şi în </w:t>
      </w:r>
      <w:r w:rsidRPr="001900FD">
        <w:rPr>
          <w:rFonts w:ascii="Times New Roman" w:hAnsi="Times New Roman" w:cs="Times New Roman"/>
          <w:sz w:val="24"/>
          <w:szCs w:val="24"/>
          <w:lang w:val="ro-RO"/>
        </w:rPr>
        <w:t>comisiile de contestaţii se iau cu majoritate de voturi.</w:t>
      </w:r>
    </w:p>
    <w:p w:rsidR="00D45D21" w:rsidRPr="001900FD" w:rsidRDefault="00D45D21" w:rsidP="00D45D21">
      <w:pPr>
        <w:jc w:val="both"/>
        <w:rPr>
          <w:rFonts w:ascii="Times New Roman" w:hAnsi="Times New Roman" w:cs="Times New Roman"/>
          <w:sz w:val="24"/>
          <w:szCs w:val="24"/>
          <w:lang w:val="ro-RO"/>
        </w:rPr>
      </w:pPr>
    </w:p>
    <w:p w:rsidR="00337E76" w:rsidRPr="001900FD" w:rsidRDefault="00D45D21" w:rsidP="00D45D21">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 xml:space="preserve">Art. </w:t>
      </w:r>
      <w:r w:rsidR="00260BF9" w:rsidRPr="001900FD">
        <w:rPr>
          <w:rFonts w:ascii="Times New Roman" w:hAnsi="Times New Roman" w:cs="Times New Roman"/>
          <w:b/>
          <w:sz w:val="24"/>
          <w:szCs w:val="24"/>
          <w:lang w:val="ro-RO"/>
        </w:rPr>
        <w:t>10</w:t>
      </w:r>
      <w:r w:rsidRPr="001900FD">
        <w:rPr>
          <w:rFonts w:ascii="Times New Roman" w:hAnsi="Times New Roman" w:cs="Times New Roman"/>
          <w:b/>
          <w:sz w:val="24"/>
          <w:szCs w:val="24"/>
          <w:lang w:val="ro-RO"/>
        </w:rPr>
        <w:t>.</w:t>
      </w:r>
    </w:p>
    <w:p w:rsidR="00D45D21" w:rsidRPr="001900FD" w:rsidRDefault="007079DE" w:rsidP="00D45D21">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D45D21" w:rsidRPr="001900FD">
        <w:rPr>
          <w:rFonts w:ascii="Times New Roman" w:hAnsi="Times New Roman" w:cs="Times New Roman"/>
          <w:sz w:val="24"/>
          <w:szCs w:val="24"/>
          <w:lang w:val="ro-RO"/>
        </w:rPr>
        <w:t>Atribuţiile comisiilor de specialitate sunt:</w:t>
      </w:r>
    </w:p>
    <w:p w:rsidR="00D45D21" w:rsidRPr="001900FD" w:rsidRDefault="00D45D21" w:rsidP="00BD2CC6">
      <w:pPr>
        <w:pStyle w:val="ListParagraph"/>
        <w:widowControl/>
        <w:numPr>
          <w:ilvl w:val="0"/>
          <w:numId w:val="20"/>
        </w:numPr>
        <w:autoSpaceDE/>
        <w:autoSpaceDN/>
        <w:ind w:hanging="294"/>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Evaluarea dosarelor de recunoaştere;</w:t>
      </w:r>
    </w:p>
    <w:p w:rsidR="00D45D21" w:rsidRPr="001900FD" w:rsidRDefault="00D45D21" w:rsidP="00BD2CC6">
      <w:pPr>
        <w:pStyle w:val="ListParagraph"/>
        <w:widowControl/>
        <w:numPr>
          <w:ilvl w:val="0"/>
          <w:numId w:val="20"/>
        </w:numPr>
        <w:autoSpaceDE/>
        <w:autoSpaceDN/>
        <w:ind w:hanging="294"/>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Comunicarea rezultatului evaluării către CRID;</w:t>
      </w:r>
    </w:p>
    <w:p w:rsidR="00D45D21" w:rsidRPr="001900FD" w:rsidRDefault="00D45D21" w:rsidP="00BD2CC6">
      <w:pPr>
        <w:pStyle w:val="ListParagraph"/>
        <w:widowControl/>
        <w:numPr>
          <w:ilvl w:val="0"/>
          <w:numId w:val="20"/>
        </w:numPr>
        <w:autoSpaceDE/>
        <w:autoSpaceDN/>
        <w:ind w:hanging="294"/>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Recomandarea, în urma evaluării, de înmatriculare a solicitantului în anul universitar corespunzător sau de nerecunoaştere a studiilor efectuate anterior.</w:t>
      </w:r>
    </w:p>
    <w:p w:rsidR="00D45D21" w:rsidRPr="001900FD" w:rsidRDefault="00D45D21" w:rsidP="00BD2CC6">
      <w:pPr>
        <w:ind w:hanging="294"/>
        <w:jc w:val="both"/>
        <w:rPr>
          <w:lang w:val="ro-RO"/>
        </w:rPr>
      </w:pPr>
    </w:p>
    <w:p w:rsidR="00487DAD" w:rsidRPr="001900FD" w:rsidRDefault="00D45D21" w:rsidP="00D45D21">
      <w:pPr>
        <w:jc w:val="both"/>
        <w:rPr>
          <w:rFonts w:ascii="Times New Roman" w:hAnsi="Times New Roman" w:cs="Times New Roman"/>
          <w:b/>
          <w:sz w:val="24"/>
          <w:szCs w:val="24"/>
          <w:lang w:val="ro-RO"/>
        </w:rPr>
      </w:pPr>
      <w:r w:rsidRPr="001900FD">
        <w:rPr>
          <w:rFonts w:ascii="Times New Roman" w:hAnsi="Times New Roman" w:cs="Times New Roman"/>
          <w:b/>
          <w:sz w:val="24"/>
          <w:szCs w:val="24"/>
          <w:lang w:val="ro-RO"/>
        </w:rPr>
        <w:t xml:space="preserve">Art. </w:t>
      </w:r>
      <w:r w:rsidR="00487DAD" w:rsidRPr="001900FD">
        <w:rPr>
          <w:rFonts w:ascii="Times New Roman" w:hAnsi="Times New Roman" w:cs="Times New Roman"/>
          <w:b/>
          <w:sz w:val="24"/>
          <w:szCs w:val="24"/>
          <w:lang w:val="ro-RO"/>
        </w:rPr>
        <w:t>1</w:t>
      </w:r>
      <w:r w:rsidR="00260BF9" w:rsidRPr="001900FD">
        <w:rPr>
          <w:rFonts w:ascii="Times New Roman" w:hAnsi="Times New Roman" w:cs="Times New Roman"/>
          <w:b/>
          <w:sz w:val="24"/>
          <w:szCs w:val="24"/>
          <w:lang w:val="ro-RO"/>
        </w:rPr>
        <w:t>1</w:t>
      </w:r>
      <w:r w:rsidRPr="001900FD">
        <w:rPr>
          <w:rFonts w:ascii="Times New Roman" w:hAnsi="Times New Roman" w:cs="Times New Roman"/>
          <w:b/>
          <w:sz w:val="24"/>
          <w:szCs w:val="24"/>
          <w:lang w:val="ro-RO"/>
        </w:rPr>
        <w:t xml:space="preserve">. </w:t>
      </w:r>
    </w:p>
    <w:p w:rsidR="00D45D21" w:rsidRPr="001900FD" w:rsidRDefault="007079DE" w:rsidP="00D45D21">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D45D21" w:rsidRPr="001900FD">
        <w:rPr>
          <w:rFonts w:ascii="Times New Roman" w:hAnsi="Times New Roman" w:cs="Times New Roman"/>
          <w:sz w:val="24"/>
          <w:szCs w:val="24"/>
          <w:lang w:val="ro-RO"/>
        </w:rPr>
        <w:t>O şcoală doctorală poate recunoaşte, conform regulamentului propriu de organizare şi desfăşurare a studiilor universitare de doctorat şi în condi</w:t>
      </w:r>
      <w:r w:rsidR="0088236A" w:rsidRPr="001900FD">
        <w:rPr>
          <w:rFonts w:ascii="Times New Roman" w:hAnsi="Times New Roman" w:cs="Times New Roman"/>
          <w:sz w:val="24"/>
          <w:szCs w:val="24"/>
          <w:lang w:val="ro-RO"/>
        </w:rPr>
        <w:t>ţiile Legii Educaţiei N</w:t>
      </w:r>
      <w:r w:rsidR="00D45D21" w:rsidRPr="001900FD">
        <w:rPr>
          <w:rFonts w:ascii="Times New Roman" w:hAnsi="Times New Roman" w:cs="Times New Roman"/>
          <w:sz w:val="24"/>
          <w:szCs w:val="24"/>
          <w:lang w:val="ro-RO"/>
        </w:rPr>
        <w:t>aţionale şi a Codului Studiilor Universitare de Doctorat, parcurgerea unor stagii anterioare de doctorat/şi sau a unor stagii de cercetare ştiinţifică, desfăşurate în ţară sau în străinătate, în universităţi sau în centre de cercetare de prestigiu, precum şi recunoaşterea unor cursuri parcurse în cadrul programelor de studii universitare de master de cercetare.</w:t>
      </w:r>
    </w:p>
    <w:p w:rsidR="00D45D21" w:rsidRPr="001900FD" w:rsidRDefault="00D45D21" w:rsidP="00D45D21">
      <w:pPr>
        <w:jc w:val="both"/>
        <w:rPr>
          <w:lang w:val="ro-RO"/>
        </w:rPr>
      </w:pPr>
    </w:p>
    <w:p w:rsidR="00192C4D" w:rsidRPr="001900FD" w:rsidRDefault="00D45D21" w:rsidP="00D45D21">
      <w:pPr>
        <w:jc w:val="both"/>
        <w:rPr>
          <w:rFonts w:ascii="Times New Roman" w:hAnsi="Times New Roman" w:cs="Times New Roman"/>
          <w:b/>
          <w:sz w:val="24"/>
          <w:szCs w:val="24"/>
          <w:lang w:val="ro-RO"/>
        </w:rPr>
      </w:pPr>
      <w:r w:rsidRPr="001900FD">
        <w:rPr>
          <w:rFonts w:ascii="Times New Roman" w:hAnsi="Times New Roman" w:cs="Times New Roman"/>
          <w:b/>
          <w:sz w:val="24"/>
          <w:szCs w:val="24"/>
          <w:lang w:val="ro-RO"/>
        </w:rPr>
        <w:t xml:space="preserve">Art. </w:t>
      </w:r>
      <w:r w:rsidR="00487DAD" w:rsidRPr="001900FD">
        <w:rPr>
          <w:rFonts w:ascii="Times New Roman" w:hAnsi="Times New Roman" w:cs="Times New Roman"/>
          <w:b/>
          <w:sz w:val="24"/>
          <w:szCs w:val="24"/>
          <w:lang w:val="ro-RO"/>
        </w:rPr>
        <w:t>1</w:t>
      </w:r>
      <w:r w:rsidR="00260BF9" w:rsidRPr="001900FD">
        <w:rPr>
          <w:rFonts w:ascii="Times New Roman" w:hAnsi="Times New Roman" w:cs="Times New Roman"/>
          <w:b/>
          <w:sz w:val="24"/>
          <w:szCs w:val="24"/>
          <w:lang w:val="ro-RO"/>
        </w:rPr>
        <w:t>2</w:t>
      </w:r>
      <w:r w:rsidRPr="001900FD">
        <w:rPr>
          <w:rFonts w:ascii="Times New Roman" w:hAnsi="Times New Roman" w:cs="Times New Roman"/>
          <w:b/>
          <w:sz w:val="24"/>
          <w:szCs w:val="24"/>
          <w:lang w:val="ro-RO"/>
        </w:rPr>
        <w:t xml:space="preserve">. </w:t>
      </w:r>
    </w:p>
    <w:p w:rsidR="00D45D21" w:rsidRPr="001900FD" w:rsidRDefault="00D45D21" w:rsidP="00D45D21">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(1) Dosarul de recunoaştere a perioadei de studii se înregistrează de către solicitant la Registratura Universităţii</w:t>
      </w:r>
      <w:r w:rsidR="00977332" w:rsidRPr="001900FD">
        <w:rPr>
          <w:rFonts w:ascii="Times New Roman" w:hAnsi="Times New Roman" w:cs="Times New Roman"/>
          <w:sz w:val="24"/>
          <w:szCs w:val="24"/>
          <w:lang w:val="ro-RO"/>
        </w:rPr>
        <w:t xml:space="preserve"> cu cel puţin </w:t>
      </w:r>
      <w:r w:rsidR="008350A8" w:rsidRPr="001900FD">
        <w:rPr>
          <w:rFonts w:ascii="Times New Roman" w:hAnsi="Times New Roman" w:cs="Times New Roman"/>
          <w:sz w:val="24"/>
          <w:szCs w:val="24"/>
          <w:lang w:val="ro-RO"/>
        </w:rPr>
        <w:t>6</w:t>
      </w:r>
      <w:r w:rsidR="00977332" w:rsidRPr="001900FD">
        <w:rPr>
          <w:rFonts w:ascii="Times New Roman" w:hAnsi="Times New Roman" w:cs="Times New Roman"/>
          <w:sz w:val="24"/>
          <w:szCs w:val="24"/>
          <w:lang w:val="ro-RO"/>
        </w:rPr>
        <w:t>0</w:t>
      </w:r>
      <w:r w:rsidR="001900FD">
        <w:rPr>
          <w:rFonts w:ascii="Times New Roman" w:hAnsi="Times New Roman" w:cs="Times New Roman"/>
          <w:sz w:val="24"/>
          <w:szCs w:val="24"/>
          <w:lang w:val="ro-RO"/>
        </w:rPr>
        <w:t xml:space="preserve"> </w:t>
      </w:r>
      <w:r w:rsidR="00977332" w:rsidRPr="001900FD">
        <w:rPr>
          <w:rFonts w:ascii="Times New Roman" w:hAnsi="Times New Roman" w:cs="Times New Roman"/>
          <w:sz w:val="24"/>
          <w:szCs w:val="24"/>
          <w:lang w:val="ro-RO"/>
        </w:rPr>
        <w:t>de zile calendaristice înainte de prima zi a anului universitar în curs şi</w:t>
      </w:r>
      <w:r w:rsidRPr="001900FD">
        <w:rPr>
          <w:rFonts w:ascii="Times New Roman" w:hAnsi="Times New Roman" w:cs="Times New Roman"/>
          <w:sz w:val="24"/>
          <w:szCs w:val="24"/>
          <w:lang w:val="ro-RO"/>
        </w:rPr>
        <w:t xml:space="preserve"> este direcţionat către </w:t>
      </w:r>
      <w:r w:rsidR="00192C4D" w:rsidRPr="001900FD">
        <w:rPr>
          <w:rFonts w:ascii="Times New Roman" w:hAnsi="Times New Roman" w:cs="Times New Roman"/>
          <w:sz w:val="24"/>
          <w:szCs w:val="24"/>
          <w:lang w:val="ro-RO"/>
        </w:rPr>
        <w:t>CRID</w:t>
      </w:r>
      <w:r w:rsidR="00977332" w:rsidRPr="001900FD">
        <w:rPr>
          <w:rFonts w:ascii="Times New Roman" w:hAnsi="Times New Roman" w:cs="Times New Roman"/>
          <w:sz w:val="24"/>
          <w:szCs w:val="24"/>
          <w:lang w:val="ro-RO"/>
        </w:rPr>
        <w:t>.</w:t>
      </w:r>
    </w:p>
    <w:p w:rsidR="00D45D21" w:rsidRPr="001900FD" w:rsidRDefault="00D45D21" w:rsidP="00192C4D">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(2) Pentru analiza dosarelor privind cererile de recunoaştere a studiilor efectuate în ţară sau în străinătate </w:t>
      </w:r>
      <w:r w:rsidR="0088236A" w:rsidRPr="001900FD">
        <w:rPr>
          <w:rFonts w:ascii="Times New Roman" w:hAnsi="Times New Roman" w:cs="Times New Roman"/>
          <w:sz w:val="24"/>
          <w:szCs w:val="24"/>
          <w:lang w:val="ro-RO"/>
        </w:rPr>
        <w:t>UPB poate institui</w:t>
      </w:r>
      <w:r w:rsidRPr="001900FD">
        <w:rPr>
          <w:rFonts w:ascii="Times New Roman" w:hAnsi="Times New Roman" w:cs="Times New Roman"/>
          <w:sz w:val="24"/>
          <w:szCs w:val="24"/>
          <w:lang w:val="ro-RO"/>
        </w:rPr>
        <w:t xml:space="preserve"> o taxă de procesare dosar. </w:t>
      </w:r>
    </w:p>
    <w:p w:rsidR="00D45D21" w:rsidRPr="001900FD" w:rsidRDefault="00D45D21" w:rsidP="00D45D21">
      <w:pPr>
        <w:jc w:val="both"/>
        <w:rPr>
          <w:lang w:val="ro-RO"/>
        </w:rPr>
      </w:pPr>
    </w:p>
    <w:p w:rsidR="00B11313" w:rsidRPr="001900FD" w:rsidRDefault="00D45D21" w:rsidP="00D45D21">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Art. 1</w:t>
      </w:r>
      <w:r w:rsidR="00260BF9" w:rsidRPr="001900FD">
        <w:rPr>
          <w:rFonts w:ascii="Times New Roman" w:hAnsi="Times New Roman" w:cs="Times New Roman"/>
          <w:b/>
          <w:sz w:val="24"/>
          <w:szCs w:val="24"/>
          <w:lang w:val="ro-RO"/>
        </w:rPr>
        <w:t>3</w:t>
      </w:r>
      <w:r w:rsidRPr="001900FD">
        <w:rPr>
          <w:rFonts w:ascii="Times New Roman" w:hAnsi="Times New Roman" w:cs="Times New Roman"/>
          <w:b/>
          <w:sz w:val="24"/>
          <w:szCs w:val="24"/>
          <w:lang w:val="ro-RO"/>
        </w:rPr>
        <w:t>.</w:t>
      </w:r>
    </w:p>
    <w:p w:rsidR="00D45D21" w:rsidRPr="001900FD" w:rsidRDefault="007079DE" w:rsidP="00D45D21">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D45D21" w:rsidRPr="001900FD">
        <w:rPr>
          <w:rFonts w:ascii="Times New Roman" w:hAnsi="Times New Roman" w:cs="Times New Roman"/>
          <w:sz w:val="24"/>
          <w:szCs w:val="24"/>
          <w:lang w:val="ro-RO"/>
        </w:rPr>
        <w:t>In cazul programelor de licență şi masterat un dosar îndeplineşte condiţiile minime de eligibilitate dacă solicitantul a încheiat cel puţin un semestru dintr-un an de studii la o altă instituţie de învăţământ superior acreditată şi nu a fost exmatriculat pentru motive imputabile studentului.</w:t>
      </w:r>
    </w:p>
    <w:p w:rsidR="00D45D21" w:rsidRPr="001900FD" w:rsidRDefault="00D45D21" w:rsidP="00D45D21">
      <w:pPr>
        <w:ind w:firstLine="900"/>
        <w:jc w:val="both"/>
        <w:rPr>
          <w:rFonts w:ascii="Times New Roman" w:hAnsi="Times New Roman" w:cs="Times New Roman"/>
          <w:sz w:val="24"/>
          <w:szCs w:val="24"/>
          <w:lang w:val="ro-RO"/>
        </w:rPr>
      </w:pPr>
    </w:p>
    <w:p w:rsidR="00986598" w:rsidRPr="001900FD" w:rsidRDefault="00D45D21" w:rsidP="00D45D21">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Art. 1</w:t>
      </w:r>
      <w:r w:rsidR="00260BF9" w:rsidRPr="001900FD">
        <w:rPr>
          <w:rFonts w:ascii="Times New Roman" w:hAnsi="Times New Roman" w:cs="Times New Roman"/>
          <w:b/>
          <w:sz w:val="24"/>
          <w:szCs w:val="24"/>
          <w:lang w:val="ro-RO"/>
        </w:rPr>
        <w:t>4</w:t>
      </w:r>
      <w:r w:rsidRPr="001900FD">
        <w:rPr>
          <w:rFonts w:ascii="Times New Roman" w:hAnsi="Times New Roman" w:cs="Times New Roman"/>
          <w:sz w:val="24"/>
          <w:szCs w:val="24"/>
          <w:lang w:val="ro-RO"/>
        </w:rPr>
        <w:t xml:space="preserve">. </w:t>
      </w:r>
    </w:p>
    <w:p w:rsidR="00986598" w:rsidRPr="001900FD" w:rsidRDefault="007079DE" w:rsidP="00986598">
      <w:pPr>
        <w:jc w:val="both"/>
        <w:rPr>
          <w:rFonts w:ascii="Times New Roman" w:hAnsi="Times New Roman" w:cs="Times New Roman"/>
          <w:sz w:val="24"/>
          <w:szCs w:val="24"/>
          <w:lang w:val="ro-RO"/>
        </w:rPr>
      </w:pPr>
      <w:r w:rsidRPr="001900FD">
        <w:rPr>
          <w:rFonts w:ascii="Times New Roman" w:eastAsia="Calibri" w:hAnsi="Times New Roman" w:cs="Times New Roman"/>
          <w:sz w:val="24"/>
          <w:szCs w:val="24"/>
          <w:lang w:val="ro-RO"/>
        </w:rPr>
        <w:t xml:space="preserve">(1) </w:t>
      </w:r>
      <w:r w:rsidR="00986598" w:rsidRPr="001900FD">
        <w:rPr>
          <w:rFonts w:ascii="Times New Roman" w:eastAsia="Calibri" w:hAnsi="Times New Roman" w:cs="Times New Roman"/>
          <w:sz w:val="24"/>
          <w:szCs w:val="24"/>
          <w:lang w:val="ro-RO"/>
        </w:rPr>
        <w:t xml:space="preserve">In cazul în care solicitantul este cetăţean al unui stat care nu este </w:t>
      </w:r>
      <w:r w:rsidR="00986598" w:rsidRPr="001900FD">
        <w:rPr>
          <w:rFonts w:ascii="Times New Roman" w:hAnsi="Times New Roman" w:cs="Times New Roman"/>
          <w:sz w:val="24"/>
          <w:szCs w:val="24"/>
          <w:lang w:val="ro-RO"/>
        </w:rPr>
        <w:t xml:space="preserve">membru al UE, sau care nu face parte din Spațiul Economic European și din Federația Elvețiană, dosarul de recunoaştere a </w:t>
      </w:r>
      <w:r w:rsidR="00986598" w:rsidRPr="001900FD">
        <w:rPr>
          <w:rFonts w:ascii="Times New Roman" w:hAnsi="Times New Roman" w:cs="Times New Roman"/>
          <w:sz w:val="24"/>
          <w:szCs w:val="24"/>
          <w:lang w:val="ro-RO"/>
        </w:rPr>
        <w:lastRenderedPageBreak/>
        <w:t>studiilor conţine obligatoriu următoarele acte:</w:t>
      </w:r>
    </w:p>
    <w:p w:rsidR="00986598" w:rsidRPr="001900FD" w:rsidRDefault="002C4148" w:rsidP="00BD2CC6">
      <w:pPr>
        <w:pStyle w:val="ListParagraph"/>
        <w:numPr>
          <w:ilvl w:val="0"/>
          <w:numId w:val="23"/>
        </w:numPr>
        <w:ind w:left="709" w:hanging="283"/>
        <w:jc w:val="both"/>
        <w:rPr>
          <w:rFonts w:ascii="Times New Roman" w:hAnsi="Times New Roman" w:cs="Times New Roman"/>
          <w:sz w:val="24"/>
          <w:szCs w:val="24"/>
          <w:lang w:val="ro-RO"/>
        </w:rPr>
      </w:pPr>
      <w:r w:rsidRPr="001900FD">
        <w:rPr>
          <w:rFonts w:ascii="Times New Roman" w:hAnsi="Times New Roman" w:cs="Times New Roman"/>
          <w:iCs/>
          <w:sz w:val="24"/>
          <w:szCs w:val="24"/>
          <w:lang w:val="ro-RO"/>
        </w:rPr>
        <w:t>c</w:t>
      </w:r>
      <w:r w:rsidR="00986598" w:rsidRPr="001900FD">
        <w:rPr>
          <w:rFonts w:ascii="Times New Roman" w:hAnsi="Times New Roman" w:cs="Times New Roman"/>
          <w:iCs/>
          <w:sz w:val="24"/>
          <w:szCs w:val="24"/>
          <w:lang w:val="ro-RO"/>
        </w:rPr>
        <w:t>ererea de înscriere</w:t>
      </w:r>
      <w:r w:rsidR="00986598" w:rsidRPr="001900FD">
        <w:rPr>
          <w:rFonts w:ascii="Times New Roman" w:hAnsi="Times New Roman" w:cs="Times New Roman"/>
          <w:sz w:val="24"/>
          <w:szCs w:val="24"/>
          <w:lang w:val="ro-RO"/>
        </w:rPr>
        <w:t xml:space="preserve"> – formular tipizat care este disponibil pe pagina web a Departamentului de Relaţii Internaţionale; în cerere se va menţiona obligatoriu de către solicitant adresa de corespondenţă electronică şi adresa poştală de corespondenţă, în vederea comunicării cu solicitantul pe parcursul procedurii, după caz. Solicitantul îşi asumă corectitudinea adresei de e-mail şi a adresei poştale de corespondenţă declarate;</w:t>
      </w:r>
    </w:p>
    <w:p w:rsidR="00986598" w:rsidRPr="001900FD" w:rsidRDefault="002C4148" w:rsidP="00BD2CC6">
      <w:pPr>
        <w:pStyle w:val="ListParagraph"/>
        <w:numPr>
          <w:ilvl w:val="0"/>
          <w:numId w:val="23"/>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d</w:t>
      </w:r>
      <w:r w:rsidR="00986598" w:rsidRPr="001900FD">
        <w:rPr>
          <w:rFonts w:ascii="Times New Roman" w:hAnsi="Times New Roman" w:cs="Times New Roman"/>
          <w:sz w:val="24"/>
          <w:szCs w:val="24"/>
          <w:lang w:val="ro-RO"/>
        </w:rPr>
        <w:t xml:space="preserve">ocumentele prevăzute prin </w:t>
      </w:r>
      <w:r w:rsidR="00986598" w:rsidRPr="001900FD">
        <w:rPr>
          <w:rFonts w:ascii="Times New Roman" w:eastAsia="Calibri" w:hAnsi="Times New Roman" w:cs="Times New Roman"/>
          <w:bCs/>
          <w:i/>
          <w:iCs/>
          <w:sz w:val="24"/>
          <w:szCs w:val="24"/>
          <w:bdr w:val="none" w:sz="0" w:space="0" w:color="auto" w:frame="1"/>
          <w:lang w:val="ro-RO"/>
        </w:rPr>
        <w:t>Metodologia UPB de primire la studii şi şcolarizare a cetaţenilor străini din state non-UE, care nu fac parte din Spaţiul Economic European şi din Confederaţia Elveţiană;</w:t>
      </w:r>
    </w:p>
    <w:p w:rsidR="00986598" w:rsidRPr="001900FD" w:rsidRDefault="002C4148" w:rsidP="00BD2CC6">
      <w:pPr>
        <w:pStyle w:val="ListParagraph"/>
        <w:numPr>
          <w:ilvl w:val="0"/>
          <w:numId w:val="23"/>
        </w:numPr>
        <w:ind w:left="709" w:hanging="283"/>
        <w:jc w:val="both"/>
        <w:rPr>
          <w:rFonts w:ascii="Times New Roman" w:hAnsi="Times New Roman" w:cs="Times New Roman"/>
          <w:sz w:val="24"/>
          <w:szCs w:val="24"/>
          <w:lang w:val="ro-RO"/>
        </w:rPr>
      </w:pPr>
      <w:r w:rsidRPr="001900FD">
        <w:rPr>
          <w:rFonts w:ascii="Times New Roman" w:hAnsi="Times New Roman" w:cs="Times New Roman"/>
          <w:iCs/>
          <w:sz w:val="24"/>
          <w:szCs w:val="24"/>
          <w:lang w:val="ro-RO"/>
        </w:rPr>
        <w:t>d</w:t>
      </w:r>
      <w:r w:rsidR="00986598" w:rsidRPr="001900FD">
        <w:rPr>
          <w:rFonts w:ascii="Times New Roman" w:hAnsi="Times New Roman" w:cs="Times New Roman"/>
          <w:iCs/>
          <w:sz w:val="24"/>
          <w:szCs w:val="24"/>
          <w:lang w:val="ro-RO"/>
        </w:rPr>
        <w:t>ocumentul apostilat sau supralegalizat,</w:t>
      </w:r>
      <w:r w:rsidR="00986598" w:rsidRPr="001900FD">
        <w:rPr>
          <w:rFonts w:ascii="Times New Roman" w:hAnsi="Times New Roman" w:cs="Times New Roman"/>
          <w:sz w:val="24"/>
          <w:szCs w:val="24"/>
          <w:lang w:val="ro-RO"/>
        </w:rPr>
        <w:t xml:space="preserve"> după caz, care atestă situaţia şcolară pentru anii de studii absolviţi, care să conţină disciplinele, notele, numărul de credite/numărul de puncte şi numărul de ore de curs pentru fiecare disciplină, emis de instituţia de învăţământ superior de la care provine solicitantul şi traducerea legalizată în limba română;</w:t>
      </w:r>
    </w:p>
    <w:p w:rsidR="00986598" w:rsidRPr="001900FD" w:rsidRDefault="002C4148" w:rsidP="00BD2CC6">
      <w:pPr>
        <w:pStyle w:val="ListParagraph"/>
        <w:numPr>
          <w:ilvl w:val="0"/>
          <w:numId w:val="23"/>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p</w:t>
      </w:r>
      <w:r w:rsidR="00986598" w:rsidRPr="001900FD">
        <w:rPr>
          <w:rFonts w:ascii="Times New Roman" w:hAnsi="Times New Roman" w:cs="Times New Roman"/>
          <w:sz w:val="24"/>
          <w:szCs w:val="24"/>
          <w:lang w:val="ro-RO"/>
        </w:rPr>
        <w:t>rogramele analitice pentru disciplinele studiate în instituţia de învăţământ superior de la care provine solicitantul, după caz, şi traducerea legalizată în limba română</w:t>
      </w:r>
      <w:r w:rsidR="00F807B3" w:rsidRPr="001900FD">
        <w:rPr>
          <w:rFonts w:ascii="Times New Roman" w:hAnsi="Times New Roman" w:cs="Times New Roman"/>
          <w:sz w:val="24"/>
          <w:szCs w:val="24"/>
          <w:lang w:val="ro-RO"/>
        </w:rPr>
        <w:t>, conform legislației în vigoare</w:t>
      </w:r>
      <w:r w:rsidR="00986598" w:rsidRPr="001900FD">
        <w:rPr>
          <w:rFonts w:ascii="Times New Roman" w:hAnsi="Times New Roman" w:cs="Times New Roman"/>
          <w:sz w:val="24"/>
          <w:szCs w:val="24"/>
          <w:lang w:val="ro-RO"/>
        </w:rPr>
        <w:t>;</w:t>
      </w:r>
    </w:p>
    <w:p w:rsidR="00986598" w:rsidRPr="001900FD" w:rsidRDefault="002C4148" w:rsidP="00BD2CC6">
      <w:pPr>
        <w:pStyle w:val="ListParagraph"/>
        <w:numPr>
          <w:ilvl w:val="0"/>
          <w:numId w:val="23"/>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d</w:t>
      </w:r>
      <w:r w:rsidR="00986598" w:rsidRPr="001900FD">
        <w:rPr>
          <w:rFonts w:ascii="Times New Roman" w:hAnsi="Times New Roman" w:cs="Times New Roman"/>
          <w:sz w:val="24"/>
          <w:szCs w:val="24"/>
          <w:lang w:val="ro-RO"/>
        </w:rPr>
        <w:t>eclaraţie pe propria răspundere că studiile efectuate anterior nu au fost întrerupte ca urmare a exmatriculării datorate încălcării prevederilor codului de etică şi deontologie al universităţii de provenienţă. Declaraţia este olografă şi în limba programului de studii pentru care optează solicitantul</w:t>
      </w:r>
      <w:r w:rsidR="00E80E1D" w:rsidRPr="001900FD">
        <w:rPr>
          <w:rFonts w:ascii="Times New Roman" w:hAnsi="Times New Roman" w:cs="Times New Roman"/>
          <w:sz w:val="24"/>
          <w:szCs w:val="24"/>
          <w:lang w:val="ro-RO"/>
        </w:rPr>
        <w:t>;</w:t>
      </w:r>
    </w:p>
    <w:p w:rsidR="00986598" w:rsidRPr="001900FD" w:rsidRDefault="002C4148" w:rsidP="00BD2CC6">
      <w:pPr>
        <w:pStyle w:val="ListParagraph"/>
        <w:numPr>
          <w:ilvl w:val="0"/>
          <w:numId w:val="23"/>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c</w:t>
      </w:r>
      <w:r w:rsidR="00986598" w:rsidRPr="001900FD">
        <w:rPr>
          <w:rFonts w:ascii="Times New Roman" w:hAnsi="Times New Roman" w:cs="Times New Roman"/>
          <w:sz w:val="24"/>
          <w:szCs w:val="24"/>
          <w:lang w:val="ro-RO"/>
        </w:rPr>
        <w:t xml:space="preserve">hitanţa taxei de procesare a recunoaşterii studiilor după cum a fost stabilită </w:t>
      </w:r>
      <w:r w:rsidR="005A4F8E">
        <w:rPr>
          <w:rFonts w:ascii="Times New Roman" w:hAnsi="Times New Roman" w:cs="Times New Roman"/>
          <w:sz w:val="24"/>
          <w:szCs w:val="24"/>
          <w:lang w:val="ro-RO"/>
        </w:rPr>
        <w:t xml:space="preserve">sau, după caz,  nu a fost stabilită </w:t>
      </w:r>
      <w:r w:rsidR="00986598" w:rsidRPr="001900FD">
        <w:rPr>
          <w:rFonts w:ascii="Times New Roman" w:hAnsi="Times New Roman" w:cs="Times New Roman"/>
          <w:sz w:val="24"/>
          <w:szCs w:val="24"/>
          <w:lang w:val="ro-RO"/>
        </w:rPr>
        <w:t>de Senatul Universităţii</w:t>
      </w:r>
      <w:r w:rsidR="00765D12">
        <w:rPr>
          <w:rFonts w:ascii="Times New Roman" w:hAnsi="Times New Roman" w:cs="Times New Roman"/>
          <w:sz w:val="24"/>
          <w:szCs w:val="24"/>
          <w:lang w:val="ro-RO"/>
        </w:rPr>
        <w:t>, în acest din urmă caz chitanţa nemafiind solicitată a fi depusă la dosar.</w:t>
      </w:r>
    </w:p>
    <w:p w:rsidR="008F67EF" w:rsidRPr="001900FD" w:rsidRDefault="007079DE" w:rsidP="008F67EF">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(2) </w:t>
      </w:r>
      <w:r w:rsidR="008F67EF" w:rsidRPr="001900FD">
        <w:rPr>
          <w:rFonts w:ascii="Times New Roman" w:hAnsi="Times New Roman" w:cs="Times New Roman"/>
          <w:sz w:val="24"/>
          <w:szCs w:val="24"/>
          <w:lang w:val="ro-RO"/>
        </w:rPr>
        <w:t xml:space="preserve">Lista statelor pentru care se solicită apostilarea sau supralegalizarea se regăsește pe site-ul </w:t>
      </w:r>
      <w:r w:rsidR="00F807B3" w:rsidRPr="001900FD">
        <w:rPr>
          <w:rFonts w:ascii="Times New Roman" w:hAnsi="Times New Roman" w:cs="Times New Roman"/>
          <w:sz w:val="24"/>
          <w:szCs w:val="24"/>
          <w:lang w:val="ro-RO"/>
        </w:rPr>
        <w:t>CNRED</w:t>
      </w:r>
      <w:r w:rsidR="001900FD">
        <w:rPr>
          <w:rFonts w:ascii="Times New Roman" w:hAnsi="Times New Roman" w:cs="Times New Roman"/>
          <w:sz w:val="24"/>
          <w:szCs w:val="24"/>
          <w:lang w:val="ro-RO"/>
        </w:rPr>
        <w:t xml:space="preserve"> </w:t>
      </w:r>
      <w:r w:rsidR="008F67EF" w:rsidRPr="001900FD">
        <w:rPr>
          <w:rFonts w:ascii="Times New Roman" w:hAnsi="Times New Roman" w:cs="Times New Roman"/>
          <w:sz w:val="24"/>
          <w:szCs w:val="24"/>
          <w:lang w:val="ro-RO"/>
        </w:rPr>
        <w:t xml:space="preserve">cu toate modificările si adăugirile ulterioare. </w:t>
      </w:r>
    </w:p>
    <w:p w:rsidR="00986598" w:rsidRPr="001900FD" w:rsidRDefault="00986598" w:rsidP="00986598">
      <w:pPr>
        <w:jc w:val="both"/>
        <w:rPr>
          <w:rFonts w:ascii="Times New Roman" w:hAnsi="Times New Roman" w:cs="Times New Roman"/>
          <w:sz w:val="24"/>
          <w:szCs w:val="24"/>
          <w:lang w:val="ro-RO"/>
        </w:rPr>
      </w:pPr>
    </w:p>
    <w:p w:rsidR="00986598" w:rsidRPr="001900FD" w:rsidRDefault="00986598" w:rsidP="00986598">
      <w:pPr>
        <w:jc w:val="both"/>
        <w:rPr>
          <w:rFonts w:ascii="Times New Roman" w:hAnsi="Times New Roman" w:cs="Times New Roman"/>
          <w:b/>
          <w:bCs/>
          <w:sz w:val="24"/>
          <w:szCs w:val="24"/>
          <w:lang w:val="ro-RO"/>
        </w:rPr>
      </w:pPr>
      <w:r w:rsidRPr="001900FD">
        <w:rPr>
          <w:rFonts w:ascii="Times New Roman" w:hAnsi="Times New Roman" w:cs="Times New Roman"/>
          <w:b/>
          <w:bCs/>
          <w:sz w:val="24"/>
          <w:szCs w:val="24"/>
          <w:lang w:val="ro-RO"/>
        </w:rPr>
        <w:t>Art. 1</w:t>
      </w:r>
      <w:r w:rsidR="00260BF9" w:rsidRPr="001900FD">
        <w:rPr>
          <w:rFonts w:ascii="Times New Roman" w:hAnsi="Times New Roman" w:cs="Times New Roman"/>
          <w:b/>
          <w:bCs/>
          <w:sz w:val="24"/>
          <w:szCs w:val="24"/>
          <w:lang w:val="ro-RO"/>
        </w:rPr>
        <w:t>5.</w:t>
      </w:r>
      <w:r w:rsidRPr="001900FD">
        <w:rPr>
          <w:rFonts w:ascii="Times New Roman" w:hAnsi="Times New Roman" w:cs="Times New Roman"/>
          <w:b/>
          <w:bCs/>
          <w:sz w:val="24"/>
          <w:szCs w:val="24"/>
          <w:lang w:val="ro-RO"/>
        </w:rPr>
        <w:tab/>
      </w:r>
    </w:p>
    <w:p w:rsidR="00986598" w:rsidRPr="001900FD" w:rsidRDefault="007079DE" w:rsidP="00986598">
      <w:pPr>
        <w:jc w:val="both"/>
        <w:rPr>
          <w:rFonts w:ascii="Times New Roman" w:hAnsi="Times New Roman" w:cs="Times New Roman"/>
          <w:sz w:val="24"/>
          <w:szCs w:val="24"/>
          <w:lang w:val="ro-RO"/>
        </w:rPr>
      </w:pPr>
      <w:r w:rsidRPr="001900FD">
        <w:rPr>
          <w:rFonts w:ascii="Times New Roman" w:eastAsia="Calibri" w:hAnsi="Times New Roman" w:cs="Times New Roman"/>
          <w:sz w:val="24"/>
          <w:szCs w:val="24"/>
          <w:lang w:val="ro-RO"/>
        </w:rPr>
        <w:t xml:space="preserve">(1) </w:t>
      </w:r>
      <w:r w:rsidR="00986598" w:rsidRPr="001900FD">
        <w:rPr>
          <w:rFonts w:ascii="Times New Roman" w:eastAsia="Calibri" w:hAnsi="Times New Roman" w:cs="Times New Roman"/>
          <w:sz w:val="24"/>
          <w:szCs w:val="24"/>
          <w:lang w:val="ro-RO"/>
        </w:rPr>
        <w:t xml:space="preserve">In cazul în care solicitantul este cetăţean al </w:t>
      </w:r>
      <w:r w:rsidR="007C4CEE" w:rsidRPr="001900FD">
        <w:rPr>
          <w:rFonts w:ascii="Times New Roman" w:eastAsia="Calibri" w:hAnsi="Times New Roman" w:cs="Times New Roman"/>
          <w:sz w:val="24"/>
          <w:szCs w:val="24"/>
          <w:lang w:val="ro-RO"/>
        </w:rPr>
        <w:t xml:space="preserve">unui </w:t>
      </w:r>
      <w:r w:rsidR="00986598" w:rsidRPr="001900FD">
        <w:rPr>
          <w:rFonts w:ascii="Times New Roman" w:hAnsi="Times New Roman" w:cs="Times New Roman"/>
          <w:sz w:val="24"/>
          <w:szCs w:val="24"/>
          <w:lang w:val="ro-RO"/>
        </w:rPr>
        <w:t>stat membr</w:t>
      </w:r>
      <w:r w:rsidR="007C4CEE" w:rsidRPr="001900FD">
        <w:rPr>
          <w:rFonts w:ascii="Times New Roman" w:hAnsi="Times New Roman" w:cs="Times New Roman"/>
          <w:sz w:val="24"/>
          <w:szCs w:val="24"/>
          <w:lang w:val="ro-RO"/>
        </w:rPr>
        <w:t>u</w:t>
      </w:r>
      <w:r w:rsidR="00986598" w:rsidRPr="001900FD">
        <w:rPr>
          <w:rFonts w:ascii="Times New Roman" w:hAnsi="Times New Roman" w:cs="Times New Roman"/>
          <w:sz w:val="24"/>
          <w:szCs w:val="24"/>
          <w:lang w:val="ro-RO"/>
        </w:rPr>
        <w:t xml:space="preserve"> UE, sau care fac</w:t>
      </w:r>
      <w:r w:rsidR="007C4CEE" w:rsidRPr="001900FD">
        <w:rPr>
          <w:rFonts w:ascii="Times New Roman" w:hAnsi="Times New Roman" w:cs="Times New Roman"/>
          <w:sz w:val="24"/>
          <w:szCs w:val="24"/>
          <w:lang w:val="ro-RO"/>
        </w:rPr>
        <w:t>e</w:t>
      </w:r>
      <w:r w:rsidR="00986598" w:rsidRPr="001900FD">
        <w:rPr>
          <w:rFonts w:ascii="Times New Roman" w:hAnsi="Times New Roman" w:cs="Times New Roman"/>
          <w:sz w:val="24"/>
          <w:szCs w:val="24"/>
          <w:lang w:val="ro-RO"/>
        </w:rPr>
        <w:t xml:space="preserve"> parte din Spațiul Economic European și din Federația Elvețiană, se va constitui un dosar care să conţină:</w:t>
      </w:r>
    </w:p>
    <w:p w:rsidR="007C4CEE" w:rsidRPr="001900FD" w:rsidRDefault="002C4148" w:rsidP="00765D12">
      <w:pPr>
        <w:pStyle w:val="ListParagraph"/>
        <w:numPr>
          <w:ilvl w:val="0"/>
          <w:numId w:val="24"/>
        </w:numPr>
        <w:ind w:left="709" w:hanging="283"/>
        <w:jc w:val="both"/>
        <w:rPr>
          <w:rFonts w:ascii="Times New Roman" w:hAnsi="Times New Roman" w:cs="Times New Roman"/>
          <w:sz w:val="24"/>
          <w:szCs w:val="24"/>
          <w:lang w:val="ro-RO"/>
        </w:rPr>
      </w:pPr>
      <w:r w:rsidRPr="001900FD">
        <w:rPr>
          <w:rFonts w:ascii="Times New Roman" w:hAnsi="Times New Roman" w:cs="Times New Roman"/>
          <w:iCs/>
          <w:sz w:val="24"/>
          <w:szCs w:val="24"/>
          <w:lang w:val="ro-RO"/>
        </w:rPr>
        <w:t>c</w:t>
      </w:r>
      <w:r w:rsidR="007C4CEE" w:rsidRPr="001900FD">
        <w:rPr>
          <w:rFonts w:ascii="Times New Roman" w:hAnsi="Times New Roman" w:cs="Times New Roman"/>
          <w:iCs/>
          <w:sz w:val="24"/>
          <w:szCs w:val="24"/>
          <w:lang w:val="ro-RO"/>
        </w:rPr>
        <w:t>ererea de înscriere</w:t>
      </w:r>
      <w:r w:rsidR="007C4CEE" w:rsidRPr="001900FD">
        <w:rPr>
          <w:rFonts w:ascii="Times New Roman" w:hAnsi="Times New Roman" w:cs="Times New Roman"/>
          <w:sz w:val="24"/>
          <w:szCs w:val="24"/>
          <w:lang w:val="ro-RO"/>
        </w:rPr>
        <w:t xml:space="preserve"> – formular tipizat care este disponibil pe pagina web a Departamentului de Relaţii Internaţionale; în cerere se va menţiona obligatoriu de către solicitant adresa de corespondenţă electronică şi adresa poştală de corespondenţă, în vederea comunicării cu solicitantul pe parcursul procedurii, după caz. Solicitantul îşi asumă corectitudinea adresei de e-mail şi a adresei poştale de corespondenţă declarate;</w:t>
      </w:r>
    </w:p>
    <w:p w:rsidR="00DA2C4F" w:rsidRPr="001900FD" w:rsidRDefault="002C4148" w:rsidP="00765D12">
      <w:pPr>
        <w:pStyle w:val="ListParagraph"/>
        <w:numPr>
          <w:ilvl w:val="0"/>
          <w:numId w:val="24"/>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d</w:t>
      </w:r>
      <w:r w:rsidR="00DA2C4F" w:rsidRPr="001900FD">
        <w:rPr>
          <w:rFonts w:ascii="Times New Roman" w:hAnsi="Times New Roman" w:cs="Times New Roman"/>
          <w:sz w:val="24"/>
          <w:szCs w:val="24"/>
          <w:lang w:val="ro-RO"/>
        </w:rPr>
        <w:t xml:space="preserve">ocumente personale de identificare, în copie: paşaport / actul de identitate – buletin sau carte de identitate; </w:t>
      </w:r>
      <w:r w:rsidR="00C952FD" w:rsidRPr="001900FD">
        <w:rPr>
          <w:rFonts w:ascii="Times New Roman" w:hAnsi="Times New Roman" w:cs="Times New Roman"/>
          <w:sz w:val="24"/>
          <w:szCs w:val="24"/>
          <w:lang w:val="ro-RO"/>
        </w:rPr>
        <w:t xml:space="preserve">certificat de naștere; </w:t>
      </w:r>
      <w:r w:rsidR="00DA2C4F" w:rsidRPr="001900FD">
        <w:rPr>
          <w:rFonts w:ascii="Times New Roman" w:hAnsi="Times New Roman" w:cs="Times New Roman"/>
          <w:sz w:val="24"/>
          <w:szCs w:val="24"/>
          <w:lang w:val="ro-RO"/>
        </w:rPr>
        <w:t xml:space="preserve">dovada schimbării numelui (dacă este cazul): </w:t>
      </w:r>
      <w:r w:rsidR="001900FD">
        <w:rPr>
          <w:rFonts w:ascii="Times New Roman" w:hAnsi="Times New Roman" w:cs="Times New Roman"/>
          <w:sz w:val="24"/>
          <w:szCs w:val="24"/>
          <w:lang w:val="ro-RO"/>
        </w:rPr>
        <w:t xml:space="preserve"> </w:t>
      </w:r>
      <w:r w:rsidR="00DA2C4F" w:rsidRPr="001900FD">
        <w:rPr>
          <w:rFonts w:ascii="Times New Roman" w:hAnsi="Times New Roman" w:cs="Times New Roman"/>
          <w:sz w:val="24"/>
          <w:szCs w:val="24"/>
          <w:lang w:val="ro-RO"/>
        </w:rPr>
        <w:t>în copie (limba română/ engleză/ franceză/ spaniolă/ italiană) și traducere legalizată (pentru celelalte limbi);</w:t>
      </w:r>
    </w:p>
    <w:p w:rsidR="002A6CE0" w:rsidRPr="001900FD" w:rsidRDefault="002C4148" w:rsidP="00765D12">
      <w:pPr>
        <w:pStyle w:val="ListParagraph"/>
        <w:numPr>
          <w:ilvl w:val="0"/>
          <w:numId w:val="24"/>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d</w:t>
      </w:r>
      <w:r w:rsidR="002A6CE0" w:rsidRPr="001900FD">
        <w:rPr>
          <w:rFonts w:ascii="Times New Roman" w:hAnsi="Times New Roman" w:cs="Times New Roman"/>
          <w:sz w:val="24"/>
          <w:szCs w:val="24"/>
          <w:lang w:val="ro-RO"/>
        </w:rPr>
        <w:t>iploma</w:t>
      </w:r>
      <w:r w:rsidR="00DA2C4F" w:rsidRPr="001900FD">
        <w:rPr>
          <w:rFonts w:ascii="Times New Roman" w:hAnsi="Times New Roman" w:cs="Times New Roman"/>
          <w:sz w:val="24"/>
          <w:szCs w:val="24"/>
          <w:lang w:val="ro-RO"/>
        </w:rPr>
        <w:t xml:space="preserve"> de Bacalaureat</w:t>
      </w:r>
      <w:r w:rsidR="002A6CE0" w:rsidRPr="001900FD">
        <w:rPr>
          <w:rFonts w:ascii="Times New Roman" w:hAnsi="Times New Roman" w:cs="Times New Roman"/>
          <w:sz w:val="24"/>
          <w:szCs w:val="24"/>
          <w:lang w:val="ro-RO"/>
        </w:rPr>
        <w:t>/Certificatul de studii liceale: copie, dacă actul de studii este emis în limba română, engleză, franceză, spaniolă, italiană; copie şi traducere legalizată (în original) în limba română pentru actele emise în celelalte limbi străine;</w:t>
      </w:r>
    </w:p>
    <w:p w:rsidR="002A6CE0" w:rsidRPr="001900FD" w:rsidRDefault="002C4148" w:rsidP="00BD2CC6">
      <w:pPr>
        <w:pStyle w:val="ListParagraph"/>
        <w:numPr>
          <w:ilvl w:val="0"/>
          <w:numId w:val="24"/>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s</w:t>
      </w:r>
      <w:r w:rsidR="002A6CE0" w:rsidRPr="001900FD">
        <w:rPr>
          <w:rFonts w:ascii="Times New Roman" w:hAnsi="Times New Roman" w:cs="Times New Roman"/>
          <w:sz w:val="24"/>
          <w:szCs w:val="24"/>
          <w:lang w:val="ro-RO"/>
        </w:rPr>
        <w:t xml:space="preserve">ituația școlară pentru ultimii 2 ani de studii, din care să rezulte disciplinele studiate și calificativele obținute: copie, dacă actul de studii este emis în limba română, engleză, franceză, spaniolă, italiană; copie şi traducere legalizată (în original) în limba română </w:t>
      </w:r>
      <w:r w:rsidR="002A6CE0" w:rsidRPr="001900FD">
        <w:rPr>
          <w:rFonts w:ascii="Times New Roman" w:hAnsi="Times New Roman" w:cs="Times New Roman"/>
          <w:sz w:val="24"/>
          <w:szCs w:val="24"/>
          <w:lang w:val="ro-RO"/>
        </w:rPr>
        <w:lastRenderedPageBreak/>
        <w:t>pentru actele emise în celelalte limbi străine;</w:t>
      </w:r>
    </w:p>
    <w:p w:rsidR="00B81178" w:rsidRPr="001900FD" w:rsidRDefault="002C4148" w:rsidP="00B81178">
      <w:pPr>
        <w:pStyle w:val="ListParagraph"/>
        <w:numPr>
          <w:ilvl w:val="0"/>
          <w:numId w:val="24"/>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a</w:t>
      </w:r>
      <w:r w:rsidR="00872178" w:rsidRPr="001900FD">
        <w:rPr>
          <w:rFonts w:ascii="Times New Roman" w:hAnsi="Times New Roman" w:cs="Times New Roman"/>
          <w:sz w:val="24"/>
          <w:szCs w:val="24"/>
          <w:lang w:val="ro-RO"/>
        </w:rPr>
        <w:t xml:space="preserve">ctul de studii pentru echivalare/recunoaștere (diploma de </w:t>
      </w:r>
      <w:r w:rsidR="00260BF9" w:rsidRPr="001900FD">
        <w:rPr>
          <w:rFonts w:ascii="Times New Roman" w:hAnsi="Times New Roman" w:cs="Times New Roman"/>
          <w:sz w:val="24"/>
          <w:szCs w:val="24"/>
          <w:lang w:val="ro-RO"/>
        </w:rPr>
        <w:t>licența şi/sau diploma de master, după caz</w:t>
      </w:r>
      <w:r w:rsidR="00872178" w:rsidRPr="001900FD">
        <w:rPr>
          <w:rFonts w:ascii="Times New Roman" w:hAnsi="Times New Roman" w:cs="Times New Roman"/>
          <w:sz w:val="24"/>
          <w:szCs w:val="24"/>
          <w:lang w:val="ro-RO"/>
        </w:rPr>
        <w:t>)</w:t>
      </w:r>
      <w:r w:rsidR="00862167" w:rsidRPr="001900FD">
        <w:rPr>
          <w:rFonts w:ascii="Times New Roman" w:hAnsi="Times New Roman" w:cs="Times New Roman"/>
          <w:sz w:val="24"/>
          <w:szCs w:val="24"/>
          <w:lang w:val="ro-RO"/>
        </w:rPr>
        <w:t>, după caz</w:t>
      </w:r>
      <w:r w:rsidR="00872178" w:rsidRPr="001900FD">
        <w:rPr>
          <w:rFonts w:ascii="Times New Roman" w:hAnsi="Times New Roman" w:cs="Times New Roman"/>
          <w:sz w:val="24"/>
          <w:szCs w:val="24"/>
          <w:lang w:val="ro-RO"/>
        </w:rPr>
        <w:t>: copie, dacă actul de studii este emis în limba română, engleză, franceză, spaniolă, italiană; copie şi traducere legalizată (în original) în limba română pentru actele emise în celelalte limbi străine;</w:t>
      </w:r>
    </w:p>
    <w:p w:rsidR="007C4CEE" w:rsidRPr="001900FD" w:rsidRDefault="002C4148" w:rsidP="00B81178">
      <w:pPr>
        <w:pStyle w:val="ListParagraph"/>
        <w:numPr>
          <w:ilvl w:val="0"/>
          <w:numId w:val="24"/>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s</w:t>
      </w:r>
      <w:r w:rsidR="008350A8" w:rsidRPr="001900FD">
        <w:rPr>
          <w:rFonts w:ascii="Times New Roman" w:hAnsi="Times New Roman" w:cs="Times New Roman"/>
          <w:sz w:val="24"/>
          <w:szCs w:val="24"/>
          <w:lang w:val="ro-RO"/>
        </w:rPr>
        <w:t>uplimentul la diplomă / Foaia matricolă</w:t>
      </w:r>
      <w:r w:rsidR="007C4CEE" w:rsidRPr="001900FD">
        <w:rPr>
          <w:rFonts w:ascii="Times New Roman" w:hAnsi="Times New Roman" w:cs="Times New Roman"/>
          <w:sz w:val="24"/>
          <w:szCs w:val="24"/>
          <w:lang w:val="ro-RO"/>
        </w:rPr>
        <w:t xml:space="preserve"> care atestă situaţia şcolară pentru anii de studii absolviţi, care să conţină disciplinele, notele, numărul de credite/numărul de puncte şi numărul de ore de curs pentru fiecare disciplină, emis de instituţia de învăţământ superior de la care provine solicitantu</w:t>
      </w:r>
      <w:r w:rsidR="008350A8" w:rsidRPr="001900FD">
        <w:rPr>
          <w:rFonts w:ascii="Times New Roman" w:hAnsi="Times New Roman" w:cs="Times New Roman"/>
          <w:sz w:val="24"/>
          <w:szCs w:val="24"/>
          <w:lang w:val="ro-RO"/>
        </w:rPr>
        <w:t>l: copie, dacă actul de studii este emis în limba română, engleză, franceză, spaniolă, italiană; copie şi traducere legalizată (în original) în limba română pentru actele emise în celelalte limbi străine</w:t>
      </w:r>
      <w:r w:rsidR="007C4CEE" w:rsidRPr="001900FD">
        <w:rPr>
          <w:rFonts w:ascii="Times New Roman" w:hAnsi="Times New Roman" w:cs="Times New Roman"/>
          <w:sz w:val="24"/>
          <w:szCs w:val="24"/>
          <w:lang w:val="ro-RO"/>
        </w:rPr>
        <w:t>;</w:t>
      </w:r>
    </w:p>
    <w:p w:rsidR="007C4CEE" w:rsidRPr="001900FD" w:rsidRDefault="002C4148" w:rsidP="00BD2CC6">
      <w:pPr>
        <w:pStyle w:val="ListParagraph"/>
        <w:numPr>
          <w:ilvl w:val="0"/>
          <w:numId w:val="24"/>
        </w:numPr>
        <w:ind w:left="709" w:hanging="283"/>
        <w:jc w:val="both"/>
        <w:rPr>
          <w:rFonts w:ascii="Times New Roman" w:hAnsi="Times New Roman" w:cs="Times New Roman"/>
          <w:iCs/>
          <w:sz w:val="24"/>
          <w:szCs w:val="24"/>
          <w:lang w:val="ro-RO"/>
        </w:rPr>
      </w:pPr>
      <w:r w:rsidRPr="001900FD">
        <w:rPr>
          <w:rFonts w:ascii="Times New Roman" w:hAnsi="Times New Roman" w:cs="Times New Roman"/>
          <w:iCs/>
          <w:sz w:val="24"/>
          <w:szCs w:val="24"/>
          <w:lang w:val="ro-RO"/>
        </w:rPr>
        <w:t>p</w:t>
      </w:r>
      <w:r w:rsidR="007C4CEE" w:rsidRPr="001900FD">
        <w:rPr>
          <w:rFonts w:ascii="Times New Roman" w:hAnsi="Times New Roman" w:cs="Times New Roman"/>
          <w:iCs/>
          <w:sz w:val="24"/>
          <w:szCs w:val="24"/>
          <w:lang w:val="ro-RO"/>
        </w:rPr>
        <w:t>rogramele analitice pentru disciplinele studiate în instituţia de învăţământ superior de la care provine solicitantul, după caz, şi traducerea legalizată în limba română</w:t>
      </w:r>
      <w:r w:rsidR="00F807B3" w:rsidRPr="001900FD">
        <w:rPr>
          <w:rFonts w:ascii="Times New Roman" w:hAnsi="Times New Roman" w:cs="Times New Roman"/>
          <w:iCs/>
          <w:sz w:val="24"/>
          <w:szCs w:val="24"/>
          <w:lang w:val="ro-RO"/>
        </w:rPr>
        <w:t>, conform legislației în vigoare</w:t>
      </w:r>
      <w:r w:rsidR="007C4CEE" w:rsidRPr="001900FD">
        <w:rPr>
          <w:rFonts w:ascii="Times New Roman" w:hAnsi="Times New Roman" w:cs="Times New Roman"/>
          <w:iCs/>
          <w:sz w:val="24"/>
          <w:szCs w:val="24"/>
          <w:lang w:val="ro-RO"/>
        </w:rPr>
        <w:t>;</w:t>
      </w:r>
    </w:p>
    <w:p w:rsidR="007C4CEE" w:rsidRPr="001900FD" w:rsidRDefault="002C4148" w:rsidP="00BD2CC6">
      <w:pPr>
        <w:pStyle w:val="ListParagraph"/>
        <w:numPr>
          <w:ilvl w:val="0"/>
          <w:numId w:val="24"/>
        </w:numPr>
        <w:ind w:left="709" w:hanging="283"/>
        <w:jc w:val="both"/>
        <w:rPr>
          <w:rFonts w:ascii="Times New Roman" w:hAnsi="Times New Roman" w:cs="Times New Roman"/>
          <w:iCs/>
          <w:sz w:val="24"/>
          <w:szCs w:val="24"/>
          <w:lang w:val="ro-RO"/>
        </w:rPr>
      </w:pPr>
      <w:r w:rsidRPr="001900FD">
        <w:rPr>
          <w:rFonts w:ascii="Times New Roman" w:hAnsi="Times New Roman" w:cs="Times New Roman"/>
          <w:iCs/>
          <w:sz w:val="24"/>
          <w:szCs w:val="24"/>
          <w:lang w:val="ro-RO"/>
        </w:rPr>
        <w:t>d</w:t>
      </w:r>
      <w:r w:rsidR="007C4CEE" w:rsidRPr="001900FD">
        <w:rPr>
          <w:rFonts w:ascii="Times New Roman" w:hAnsi="Times New Roman" w:cs="Times New Roman"/>
          <w:iCs/>
          <w:sz w:val="24"/>
          <w:szCs w:val="24"/>
          <w:lang w:val="ro-RO"/>
        </w:rPr>
        <w:t>eclaraţie pe propria răspundere că studiile efectuate anterior nu au fost întrerupte ca urmare a exmatriculării datorate încălcării prevederilor codului de etică şi deontologie al universităţii de provenienţă. Declaraţia este olografă şi în limba programului de studii pentru care optează solicitantul</w:t>
      </w:r>
      <w:r w:rsidR="00E80E1D" w:rsidRPr="001900FD">
        <w:rPr>
          <w:rFonts w:ascii="Times New Roman" w:hAnsi="Times New Roman" w:cs="Times New Roman"/>
          <w:iCs/>
          <w:sz w:val="24"/>
          <w:szCs w:val="24"/>
          <w:lang w:val="ro-RO"/>
        </w:rPr>
        <w:t> ;</w:t>
      </w:r>
    </w:p>
    <w:p w:rsidR="007C4CEE" w:rsidRPr="001900FD" w:rsidRDefault="00765D12" w:rsidP="00BD2CC6">
      <w:pPr>
        <w:pStyle w:val="ListParagraph"/>
        <w:numPr>
          <w:ilvl w:val="0"/>
          <w:numId w:val="24"/>
        </w:numPr>
        <w:ind w:left="709" w:hanging="283"/>
        <w:jc w:val="both"/>
        <w:rPr>
          <w:rFonts w:ascii="Times New Roman" w:hAnsi="Times New Roman" w:cs="Times New Roman"/>
          <w:iCs/>
          <w:sz w:val="24"/>
          <w:szCs w:val="24"/>
          <w:lang w:val="ro-RO"/>
        </w:rPr>
      </w:pPr>
      <w:r w:rsidRPr="001900FD">
        <w:rPr>
          <w:rFonts w:ascii="Times New Roman" w:hAnsi="Times New Roman" w:cs="Times New Roman"/>
          <w:sz w:val="24"/>
          <w:szCs w:val="24"/>
          <w:lang w:val="ro-RO"/>
        </w:rPr>
        <w:t xml:space="preserve">chitanţa taxei de procesare a recunoaşterii studiilor după cum a fost stabilită </w:t>
      </w:r>
      <w:r>
        <w:rPr>
          <w:rFonts w:ascii="Times New Roman" w:hAnsi="Times New Roman" w:cs="Times New Roman"/>
          <w:sz w:val="24"/>
          <w:szCs w:val="24"/>
          <w:lang w:val="ro-RO"/>
        </w:rPr>
        <w:t xml:space="preserve">sau, după caz,  nu a fost stabilită </w:t>
      </w:r>
      <w:r w:rsidRPr="001900FD">
        <w:rPr>
          <w:rFonts w:ascii="Times New Roman" w:hAnsi="Times New Roman" w:cs="Times New Roman"/>
          <w:sz w:val="24"/>
          <w:szCs w:val="24"/>
          <w:lang w:val="ro-RO"/>
        </w:rPr>
        <w:t>de Senatul Universităţii</w:t>
      </w:r>
      <w:r>
        <w:rPr>
          <w:rFonts w:ascii="Times New Roman" w:hAnsi="Times New Roman" w:cs="Times New Roman"/>
          <w:sz w:val="24"/>
          <w:szCs w:val="24"/>
          <w:lang w:val="ro-RO"/>
        </w:rPr>
        <w:t>, în acest din urmă caz chitanţa nemafiind solicitată a fi depusă la dosar.</w:t>
      </w:r>
    </w:p>
    <w:p w:rsidR="00090F96" w:rsidRPr="001900FD" w:rsidRDefault="00090F96" w:rsidP="00090F96">
      <w:pPr>
        <w:jc w:val="both"/>
        <w:rPr>
          <w:rFonts w:ascii="Times New Roman" w:hAnsi="Times New Roman" w:cs="Times New Roman"/>
          <w:color w:val="0070C0"/>
          <w:sz w:val="24"/>
          <w:szCs w:val="24"/>
          <w:lang w:val="ro-RO"/>
        </w:rPr>
      </w:pPr>
    </w:p>
    <w:p w:rsidR="00B430DF" w:rsidRPr="001900FD" w:rsidRDefault="00B430DF" w:rsidP="00B430DF">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Art. 1</w:t>
      </w:r>
      <w:r w:rsidR="00694537" w:rsidRPr="001900FD">
        <w:rPr>
          <w:rFonts w:ascii="Times New Roman" w:hAnsi="Times New Roman" w:cs="Times New Roman"/>
          <w:b/>
          <w:sz w:val="24"/>
          <w:szCs w:val="24"/>
          <w:lang w:val="ro-RO"/>
        </w:rPr>
        <w:t>6</w:t>
      </w:r>
      <w:r w:rsidRPr="001900FD">
        <w:rPr>
          <w:rFonts w:ascii="Times New Roman" w:hAnsi="Times New Roman" w:cs="Times New Roman"/>
          <w:b/>
          <w:sz w:val="24"/>
          <w:szCs w:val="24"/>
          <w:lang w:val="ro-RO"/>
        </w:rPr>
        <w:t>.</w:t>
      </w:r>
    </w:p>
    <w:p w:rsidR="00B430DF" w:rsidRPr="001900FD" w:rsidRDefault="007079DE" w:rsidP="00B430DF">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B430DF" w:rsidRPr="001900FD">
        <w:rPr>
          <w:rFonts w:ascii="Times New Roman" w:hAnsi="Times New Roman" w:cs="Times New Roman"/>
          <w:sz w:val="24"/>
          <w:szCs w:val="24"/>
          <w:lang w:val="ro-RO"/>
        </w:rPr>
        <w:t>In cadrul CRID se vor executa următoarele operaţiuni:</w:t>
      </w:r>
    </w:p>
    <w:p w:rsidR="00B430DF" w:rsidRPr="001900FD" w:rsidRDefault="00B430DF" w:rsidP="00BD2CC6">
      <w:pPr>
        <w:pStyle w:val="ListParagraph"/>
        <w:widowControl/>
        <w:numPr>
          <w:ilvl w:val="0"/>
          <w:numId w:val="27"/>
        </w:numPr>
        <w:autoSpaceDE/>
        <w:autoSpaceDN/>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Se verifică dacă dosarul conţine toate documentele;</w:t>
      </w:r>
    </w:p>
    <w:p w:rsidR="00B430DF" w:rsidRPr="001900FD" w:rsidRDefault="00B430DF" w:rsidP="00BD2CC6">
      <w:pPr>
        <w:pStyle w:val="ListParagraph"/>
        <w:widowControl/>
        <w:numPr>
          <w:ilvl w:val="0"/>
          <w:numId w:val="27"/>
        </w:numPr>
        <w:autoSpaceDE/>
        <w:autoSpaceDN/>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Se comunică solicitantului, de urgenţă, electronic şi/sau prin poştă, actele care nu au fost depuse, dacă dosarul este incomplet. Completarea dosarului se face în maxim 7 zile de la data acestei solicitări. Necompletarea în termen atrage de la sine respingerea dosarului. În caz de respingere a dosarului, solicitantul sau reprezentantul acestuia are dreptul să ridice documentele depuse, prin completarea unei cereri în acest sens, în termen de 3(trei) luni de la depunerea dosarului sau să solicite să-i fie trimise documentele din dosar prin poştă, spezele poştale fiind suportate de acesta la destinaţie. Neridicarea documentelor din dosar în termenul prevăzut îl decade pe solicitant din dreptul de a mai solicita documentele şi dă Universităţii dreptul de a distruge documentele</w:t>
      </w:r>
      <w:r w:rsidR="00E80E1D" w:rsidRPr="001900FD">
        <w:rPr>
          <w:rFonts w:ascii="Times New Roman" w:hAnsi="Times New Roman" w:cs="Times New Roman"/>
          <w:sz w:val="24"/>
          <w:szCs w:val="24"/>
          <w:lang w:val="ro-RO"/>
        </w:rPr>
        <w:t>;</w:t>
      </w:r>
    </w:p>
    <w:p w:rsidR="002B47B9" w:rsidRPr="001900FD" w:rsidRDefault="00C356F1" w:rsidP="00BD2CC6">
      <w:pPr>
        <w:pStyle w:val="ListParagraph"/>
        <w:widowControl/>
        <w:numPr>
          <w:ilvl w:val="0"/>
          <w:numId w:val="27"/>
        </w:numPr>
        <w:autoSpaceDE/>
        <w:autoSpaceDN/>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S</w:t>
      </w:r>
      <w:r w:rsidR="002C4148" w:rsidRPr="001900FD">
        <w:rPr>
          <w:rFonts w:ascii="Times New Roman" w:hAnsi="Times New Roman" w:cs="Times New Roman"/>
          <w:sz w:val="24"/>
          <w:szCs w:val="24"/>
          <w:lang w:val="ro-RO"/>
        </w:rPr>
        <w:t>e s</w:t>
      </w:r>
      <w:r w:rsidRPr="001900FD">
        <w:rPr>
          <w:rFonts w:ascii="Times New Roman" w:hAnsi="Times New Roman" w:cs="Times New Roman"/>
          <w:sz w:val="24"/>
          <w:szCs w:val="24"/>
          <w:lang w:val="ro-RO"/>
        </w:rPr>
        <w:t xml:space="preserve">olicită constituirea comisiilor de </w:t>
      </w:r>
      <w:r w:rsidR="002B47B9" w:rsidRPr="001900FD">
        <w:rPr>
          <w:rFonts w:ascii="Times New Roman" w:hAnsi="Times New Roman" w:cs="Times New Roman"/>
          <w:sz w:val="24"/>
          <w:szCs w:val="24"/>
          <w:lang w:val="ro-RO"/>
        </w:rPr>
        <w:t>specialitate</w:t>
      </w:r>
      <w:r w:rsidRPr="001900FD">
        <w:rPr>
          <w:rFonts w:ascii="Times New Roman" w:hAnsi="Times New Roman" w:cs="Times New Roman"/>
          <w:sz w:val="24"/>
          <w:szCs w:val="24"/>
          <w:lang w:val="ro-RO"/>
        </w:rPr>
        <w:t xml:space="preserve"> şi </w:t>
      </w:r>
      <w:r w:rsidR="002B47B9" w:rsidRPr="001900FD">
        <w:rPr>
          <w:rFonts w:ascii="Times New Roman" w:hAnsi="Times New Roman" w:cs="Times New Roman"/>
          <w:sz w:val="24"/>
          <w:szCs w:val="24"/>
          <w:lang w:val="ro-RO"/>
        </w:rPr>
        <w:t xml:space="preserve">de </w:t>
      </w:r>
      <w:r w:rsidRPr="001900FD">
        <w:rPr>
          <w:rFonts w:ascii="Times New Roman" w:hAnsi="Times New Roman" w:cs="Times New Roman"/>
          <w:sz w:val="24"/>
          <w:szCs w:val="24"/>
          <w:lang w:val="ro-RO"/>
        </w:rPr>
        <w:t>contestaţii</w:t>
      </w:r>
      <w:r w:rsidR="002B47B9" w:rsidRPr="001900FD">
        <w:rPr>
          <w:rFonts w:ascii="Times New Roman" w:hAnsi="Times New Roman" w:cs="Times New Roman"/>
          <w:sz w:val="24"/>
          <w:szCs w:val="24"/>
          <w:lang w:val="ro-RO"/>
        </w:rPr>
        <w:t xml:space="preserve">, conform Art. </w:t>
      </w:r>
      <w:r w:rsidR="00E156B5" w:rsidRPr="001900FD">
        <w:rPr>
          <w:rFonts w:ascii="Times New Roman" w:hAnsi="Times New Roman" w:cs="Times New Roman"/>
          <w:sz w:val="24"/>
          <w:szCs w:val="24"/>
          <w:lang w:val="ro-RO"/>
        </w:rPr>
        <w:t>9, alin 1</w:t>
      </w:r>
      <w:r w:rsidR="002B47B9" w:rsidRPr="001900FD">
        <w:rPr>
          <w:rFonts w:ascii="Times New Roman" w:hAnsi="Times New Roman" w:cs="Times New Roman"/>
          <w:sz w:val="24"/>
          <w:szCs w:val="24"/>
          <w:lang w:val="ro-RO"/>
        </w:rPr>
        <w:t xml:space="preserve"> din prezentul regulament.</w:t>
      </w:r>
    </w:p>
    <w:p w:rsidR="00B430DF" w:rsidRPr="001900FD" w:rsidRDefault="00B430DF" w:rsidP="00B430DF">
      <w:pPr>
        <w:jc w:val="both"/>
        <w:rPr>
          <w:lang w:val="ro-RO"/>
        </w:rPr>
      </w:pPr>
    </w:p>
    <w:p w:rsidR="002B47B9" w:rsidRPr="001900FD" w:rsidRDefault="00B430DF" w:rsidP="00B430DF">
      <w:pPr>
        <w:jc w:val="both"/>
        <w:rPr>
          <w:rFonts w:ascii="Times New Roman" w:hAnsi="Times New Roman" w:cs="Times New Roman"/>
          <w:b/>
          <w:sz w:val="24"/>
          <w:szCs w:val="24"/>
          <w:lang w:val="ro-RO"/>
        </w:rPr>
      </w:pPr>
      <w:r w:rsidRPr="001900FD">
        <w:rPr>
          <w:rFonts w:ascii="Times New Roman" w:hAnsi="Times New Roman" w:cs="Times New Roman"/>
          <w:b/>
          <w:sz w:val="24"/>
          <w:szCs w:val="24"/>
          <w:lang w:val="ro-RO"/>
        </w:rPr>
        <w:t>Art. 1</w:t>
      </w:r>
      <w:r w:rsidR="00694537" w:rsidRPr="001900FD">
        <w:rPr>
          <w:rFonts w:ascii="Times New Roman" w:hAnsi="Times New Roman" w:cs="Times New Roman"/>
          <w:b/>
          <w:sz w:val="24"/>
          <w:szCs w:val="24"/>
          <w:lang w:val="ro-RO"/>
        </w:rPr>
        <w:t>7</w:t>
      </w:r>
      <w:r w:rsidRPr="001900FD">
        <w:rPr>
          <w:rFonts w:ascii="Times New Roman" w:hAnsi="Times New Roman" w:cs="Times New Roman"/>
          <w:b/>
          <w:sz w:val="24"/>
          <w:szCs w:val="24"/>
          <w:lang w:val="ro-RO"/>
        </w:rPr>
        <w:t xml:space="preserve">. </w:t>
      </w:r>
    </w:p>
    <w:p w:rsidR="007079DE" w:rsidRPr="001900FD" w:rsidRDefault="007079DE" w:rsidP="00B430DF">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B430DF" w:rsidRPr="001900FD">
        <w:rPr>
          <w:rFonts w:ascii="Times New Roman" w:hAnsi="Times New Roman" w:cs="Times New Roman"/>
          <w:sz w:val="24"/>
          <w:szCs w:val="24"/>
          <w:lang w:val="ro-RO"/>
        </w:rPr>
        <w:t xml:space="preserve">Termenul de soluţionare a dosarului de recunoaştere este de 10 zile lucrătoare de la data depunerii dosarului complet, (inclusiv a documentelor solicitate spre completare) în conformitate cu metodologia de admitere la studii adoptată la nivelul universităţii. </w:t>
      </w:r>
    </w:p>
    <w:p w:rsidR="00F807B3" w:rsidRPr="00765D12" w:rsidRDefault="007079DE" w:rsidP="00B430DF">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(2) </w:t>
      </w:r>
      <w:r w:rsidR="00B430DF" w:rsidRPr="001900FD">
        <w:rPr>
          <w:rFonts w:ascii="Times New Roman" w:hAnsi="Times New Roman" w:cs="Times New Roman"/>
          <w:sz w:val="24"/>
          <w:szCs w:val="24"/>
          <w:lang w:val="ro-RO"/>
        </w:rPr>
        <w:t>Acest termen se poate prelungi în cazurile în care este necesară verificarea autenticităţii documentelor şcolare şi a statutului universităţii emitente. Solicitantul va fi informat în scris cu privire la motivele nesoluţionării în termenul legal.</w:t>
      </w:r>
    </w:p>
    <w:p w:rsidR="00260BF9" w:rsidRPr="001900FD" w:rsidRDefault="00B430DF" w:rsidP="00B430DF">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lastRenderedPageBreak/>
        <w:t>Art. 1</w:t>
      </w:r>
      <w:r w:rsidR="00694537" w:rsidRPr="001900FD">
        <w:rPr>
          <w:rFonts w:ascii="Times New Roman" w:hAnsi="Times New Roman" w:cs="Times New Roman"/>
          <w:b/>
          <w:sz w:val="24"/>
          <w:szCs w:val="24"/>
          <w:lang w:val="ro-RO"/>
        </w:rPr>
        <w:t>8</w:t>
      </w:r>
      <w:r w:rsidRPr="001900FD">
        <w:rPr>
          <w:rFonts w:ascii="Times New Roman" w:hAnsi="Times New Roman" w:cs="Times New Roman"/>
          <w:b/>
          <w:sz w:val="24"/>
          <w:szCs w:val="24"/>
          <w:lang w:val="ro-RO"/>
        </w:rPr>
        <w:t>.</w:t>
      </w:r>
    </w:p>
    <w:p w:rsidR="00B430DF" w:rsidRPr="001900FD" w:rsidRDefault="007079DE" w:rsidP="00B430DF">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B430DF" w:rsidRPr="001900FD">
        <w:rPr>
          <w:rFonts w:ascii="Times New Roman" w:hAnsi="Times New Roman" w:cs="Times New Roman"/>
          <w:sz w:val="24"/>
          <w:szCs w:val="24"/>
          <w:lang w:val="ro-RO"/>
        </w:rPr>
        <w:t xml:space="preserve">Pentru evaluarea dosarului CRID </w:t>
      </w:r>
      <w:r w:rsidR="00A026A0" w:rsidRPr="001900FD">
        <w:rPr>
          <w:rFonts w:ascii="Times New Roman" w:hAnsi="Times New Roman" w:cs="Times New Roman"/>
          <w:sz w:val="24"/>
          <w:szCs w:val="24"/>
          <w:lang w:val="ro-RO"/>
        </w:rPr>
        <w:t>parcurge următoarele etape</w:t>
      </w:r>
      <w:r w:rsidR="00B430DF" w:rsidRPr="001900FD">
        <w:rPr>
          <w:rFonts w:ascii="Times New Roman" w:hAnsi="Times New Roman" w:cs="Times New Roman"/>
          <w:sz w:val="24"/>
          <w:szCs w:val="24"/>
          <w:lang w:val="ro-RO"/>
        </w:rPr>
        <w:t>:</w:t>
      </w:r>
    </w:p>
    <w:p w:rsidR="00B430DF" w:rsidRPr="001900FD" w:rsidRDefault="00A026A0" w:rsidP="00BD2CC6">
      <w:pPr>
        <w:pStyle w:val="ListParagraph"/>
        <w:numPr>
          <w:ilvl w:val="0"/>
          <w:numId w:val="28"/>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V</w:t>
      </w:r>
      <w:r w:rsidR="00B430DF" w:rsidRPr="001900FD">
        <w:rPr>
          <w:rFonts w:ascii="Times New Roman" w:hAnsi="Times New Roman" w:cs="Times New Roman"/>
          <w:sz w:val="24"/>
          <w:szCs w:val="24"/>
          <w:lang w:val="ro-RO"/>
        </w:rPr>
        <w:t>erifică statutul instituţiei de învăţământ superior care a emis documentele şcolare şi actele de studii supuse recunoaşterii, precum şi nivelul programului de studii urmat de solicitant în cadrul respectivei instituţii de învăţământ superior. În cazul în care instituţia de învăţământ superior emitentă nu este recunoscută/acreditată în statul de origine, actele de studii depuse de solicitant nu se recunosc;</w:t>
      </w:r>
    </w:p>
    <w:p w:rsidR="00B430DF" w:rsidRPr="001900FD" w:rsidRDefault="00A026A0" w:rsidP="00BD2CC6">
      <w:pPr>
        <w:pStyle w:val="ListParagraph"/>
        <w:numPr>
          <w:ilvl w:val="0"/>
          <w:numId w:val="28"/>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T</w:t>
      </w:r>
      <w:r w:rsidR="00B430DF" w:rsidRPr="001900FD">
        <w:rPr>
          <w:rFonts w:ascii="Times New Roman" w:hAnsi="Times New Roman" w:cs="Times New Roman"/>
          <w:sz w:val="24"/>
          <w:szCs w:val="24"/>
          <w:lang w:val="ro-RO"/>
        </w:rPr>
        <w:t xml:space="preserve">ransmite către </w:t>
      </w:r>
      <w:r w:rsidR="004641E3" w:rsidRPr="001900FD">
        <w:rPr>
          <w:rFonts w:ascii="Times New Roman" w:hAnsi="Times New Roman" w:cs="Times New Roman"/>
          <w:sz w:val="24"/>
          <w:szCs w:val="24"/>
          <w:lang w:val="ro-RO"/>
        </w:rPr>
        <w:t>Ministerul Educației și Cercetării</w:t>
      </w:r>
      <w:r w:rsidR="00B430DF" w:rsidRPr="001900FD">
        <w:rPr>
          <w:rFonts w:ascii="Times New Roman" w:hAnsi="Times New Roman" w:cs="Times New Roman"/>
          <w:sz w:val="24"/>
          <w:szCs w:val="24"/>
          <w:lang w:val="ro-RO"/>
        </w:rPr>
        <w:t>, în format electronic, pentru verificare, documentel</w:t>
      </w:r>
      <w:r w:rsidRPr="001900FD">
        <w:rPr>
          <w:rFonts w:ascii="Times New Roman" w:hAnsi="Times New Roman" w:cs="Times New Roman"/>
          <w:sz w:val="24"/>
          <w:szCs w:val="24"/>
          <w:lang w:val="ro-RO"/>
        </w:rPr>
        <w:t>e</w:t>
      </w:r>
      <w:r w:rsidR="00B430DF" w:rsidRPr="001900FD">
        <w:rPr>
          <w:rFonts w:ascii="Times New Roman" w:hAnsi="Times New Roman" w:cs="Times New Roman"/>
          <w:sz w:val="24"/>
          <w:szCs w:val="24"/>
          <w:lang w:val="ro-RO"/>
        </w:rPr>
        <w:t xml:space="preserve"> şcolare depuse în dosar, în cazul în care există îndoieli asupra autenticităţii şi legalităţii emiterii acestora;</w:t>
      </w:r>
    </w:p>
    <w:p w:rsidR="00B430DF" w:rsidRPr="001900FD" w:rsidRDefault="00A026A0" w:rsidP="00BD2CC6">
      <w:pPr>
        <w:pStyle w:val="ListParagraph"/>
        <w:numPr>
          <w:ilvl w:val="0"/>
          <w:numId w:val="28"/>
        </w:numPr>
        <w:tabs>
          <w:tab w:val="left" w:pos="1080"/>
          <w:tab w:val="left" w:pos="1260"/>
        </w:tabs>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T</w:t>
      </w:r>
      <w:r w:rsidR="00B430DF" w:rsidRPr="001900FD">
        <w:rPr>
          <w:rFonts w:ascii="Times New Roman" w:hAnsi="Times New Roman" w:cs="Times New Roman"/>
          <w:sz w:val="24"/>
          <w:szCs w:val="24"/>
          <w:lang w:val="ro-RO"/>
        </w:rPr>
        <w:t>ransmite dosarul comisiei de specialitate pentru evaluare.</w:t>
      </w:r>
    </w:p>
    <w:p w:rsidR="00B430DF" w:rsidRPr="001900FD" w:rsidRDefault="00B430DF" w:rsidP="00BD2CC6">
      <w:pPr>
        <w:tabs>
          <w:tab w:val="left" w:pos="1080"/>
          <w:tab w:val="left" w:pos="1260"/>
        </w:tabs>
        <w:ind w:left="709" w:hanging="283"/>
        <w:jc w:val="both"/>
        <w:rPr>
          <w:lang w:val="ro-RO"/>
        </w:rPr>
      </w:pPr>
    </w:p>
    <w:p w:rsidR="000C35B1" w:rsidRPr="001900FD" w:rsidRDefault="00B430DF" w:rsidP="00B430DF">
      <w:pPr>
        <w:tabs>
          <w:tab w:val="left" w:pos="1080"/>
          <w:tab w:val="left" w:pos="1260"/>
        </w:tabs>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 xml:space="preserve">Art. </w:t>
      </w:r>
      <w:r w:rsidR="00694537" w:rsidRPr="001900FD">
        <w:rPr>
          <w:rFonts w:ascii="Times New Roman" w:hAnsi="Times New Roman" w:cs="Times New Roman"/>
          <w:b/>
          <w:sz w:val="24"/>
          <w:szCs w:val="24"/>
          <w:lang w:val="ro-RO"/>
        </w:rPr>
        <w:t>19</w:t>
      </w:r>
      <w:r w:rsidRPr="001900FD">
        <w:rPr>
          <w:rFonts w:ascii="Times New Roman" w:hAnsi="Times New Roman" w:cs="Times New Roman"/>
          <w:b/>
          <w:sz w:val="24"/>
          <w:szCs w:val="24"/>
          <w:lang w:val="ro-RO"/>
        </w:rPr>
        <w:t>.</w:t>
      </w:r>
    </w:p>
    <w:p w:rsidR="00B430DF" w:rsidRPr="001900FD" w:rsidRDefault="0022210A" w:rsidP="00B430DF">
      <w:pPr>
        <w:tabs>
          <w:tab w:val="left" w:pos="1080"/>
          <w:tab w:val="left" w:pos="1260"/>
        </w:tabs>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B430DF" w:rsidRPr="001900FD">
        <w:rPr>
          <w:rFonts w:ascii="Times New Roman" w:hAnsi="Times New Roman" w:cs="Times New Roman"/>
          <w:sz w:val="24"/>
          <w:szCs w:val="24"/>
          <w:lang w:val="ro-RO"/>
        </w:rPr>
        <w:t>Comisia de specialitate analizează comparativ conţinutul parcursului academic al solicitantului cu conţinutul programului de studii al Universităţii POLITEHNICA din Bucureşti pentru care a optat solicitantul, urmărindu-se obligatoriu următoarele elemente:</w:t>
      </w:r>
    </w:p>
    <w:p w:rsidR="00B430DF" w:rsidRPr="001900FD" w:rsidRDefault="0053052C" w:rsidP="00BD2CC6">
      <w:pPr>
        <w:pStyle w:val="ListParagraph"/>
        <w:numPr>
          <w:ilvl w:val="0"/>
          <w:numId w:val="29"/>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N</w:t>
      </w:r>
      <w:r w:rsidR="00B430DF" w:rsidRPr="001900FD">
        <w:rPr>
          <w:rFonts w:ascii="Times New Roman" w:hAnsi="Times New Roman" w:cs="Times New Roman"/>
          <w:sz w:val="24"/>
          <w:szCs w:val="24"/>
          <w:lang w:val="ro-RO"/>
        </w:rPr>
        <w:t>umărul de credite de studi</w:t>
      </w:r>
      <w:r w:rsidR="00980882" w:rsidRPr="001900FD">
        <w:rPr>
          <w:rFonts w:ascii="Times New Roman" w:hAnsi="Times New Roman" w:cs="Times New Roman"/>
          <w:sz w:val="24"/>
          <w:szCs w:val="24"/>
          <w:lang w:val="ro-RO"/>
        </w:rPr>
        <w:t>u transferabile şi acumulabile (</w:t>
      </w:r>
      <w:r w:rsidR="00B430DF" w:rsidRPr="001900FD">
        <w:rPr>
          <w:rFonts w:ascii="Times New Roman" w:hAnsi="Times New Roman" w:cs="Times New Roman"/>
          <w:sz w:val="24"/>
          <w:szCs w:val="24"/>
          <w:lang w:val="ro-RO"/>
        </w:rPr>
        <w:t>ECTS</w:t>
      </w:r>
      <w:r w:rsidR="00980882" w:rsidRPr="001900FD">
        <w:rPr>
          <w:rFonts w:ascii="Times New Roman" w:hAnsi="Times New Roman" w:cs="Times New Roman"/>
          <w:sz w:val="24"/>
          <w:szCs w:val="24"/>
          <w:lang w:val="ro-RO"/>
        </w:rPr>
        <w:t>)</w:t>
      </w:r>
      <w:r w:rsidR="00B430DF" w:rsidRPr="001900FD">
        <w:rPr>
          <w:rFonts w:ascii="Times New Roman" w:hAnsi="Times New Roman" w:cs="Times New Roman"/>
          <w:sz w:val="24"/>
          <w:szCs w:val="24"/>
          <w:lang w:val="ro-RO"/>
        </w:rPr>
        <w:t xml:space="preserve"> sau punctele obţinute în cadrul studiilor efectuate la instituţia de învăţământ superior de la care provine solicitantul;</w:t>
      </w:r>
    </w:p>
    <w:p w:rsidR="00B430DF" w:rsidRPr="001900FD" w:rsidRDefault="0053052C" w:rsidP="00BD2CC6">
      <w:pPr>
        <w:pStyle w:val="ListParagraph"/>
        <w:numPr>
          <w:ilvl w:val="0"/>
          <w:numId w:val="29"/>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R</w:t>
      </w:r>
      <w:r w:rsidR="00B430DF" w:rsidRPr="001900FD">
        <w:rPr>
          <w:rFonts w:ascii="Times New Roman" w:hAnsi="Times New Roman" w:cs="Times New Roman"/>
          <w:sz w:val="24"/>
          <w:szCs w:val="24"/>
          <w:lang w:val="ro-RO"/>
        </w:rPr>
        <w:t xml:space="preserve">ezultatele obţinute pe parcursul şcolarităţii efectuate anterior, evidenţiate prin diferite sisteme de evaluare/notare. În acest scop se va efectua conversia mediilor obţinute cu ajutorul  grilei de conversie, prevăzută în </w:t>
      </w:r>
      <w:r w:rsidR="00B430DF" w:rsidRPr="001900FD">
        <w:rPr>
          <w:rFonts w:ascii="Times New Roman" w:hAnsi="Times New Roman" w:cs="Times New Roman"/>
          <w:b/>
          <w:sz w:val="24"/>
          <w:szCs w:val="24"/>
          <w:lang w:val="ro-RO"/>
        </w:rPr>
        <w:t>Anex</w:t>
      </w:r>
      <w:r w:rsidR="00510844" w:rsidRPr="001900FD">
        <w:rPr>
          <w:rFonts w:ascii="Times New Roman" w:hAnsi="Times New Roman" w:cs="Times New Roman"/>
          <w:b/>
          <w:sz w:val="24"/>
          <w:szCs w:val="24"/>
          <w:lang w:val="ro-RO"/>
        </w:rPr>
        <w:t xml:space="preserve">a </w:t>
      </w:r>
      <w:r w:rsidR="001900FD">
        <w:rPr>
          <w:rFonts w:ascii="Times New Roman" w:hAnsi="Times New Roman" w:cs="Times New Roman"/>
          <w:b/>
          <w:sz w:val="24"/>
          <w:szCs w:val="24"/>
          <w:lang w:val="ro-RO"/>
        </w:rPr>
        <w:t>1</w:t>
      </w:r>
      <w:r w:rsidR="001900FD" w:rsidRPr="001900FD">
        <w:rPr>
          <w:rFonts w:ascii="Times New Roman" w:hAnsi="Times New Roman" w:cs="Times New Roman"/>
          <w:sz w:val="24"/>
          <w:szCs w:val="24"/>
          <w:lang w:val="ro-RO"/>
        </w:rPr>
        <w:t xml:space="preserve">, </w:t>
      </w:r>
      <w:r w:rsidR="00B430DF" w:rsidRPr="001900FD">
        <w:rPr>
          <w:rFonts w:ascii="Times New Roman" w:hAnsi="Times New Roman" w:cs="Times New Roman"/>
          <w:sz w:val="24"/>
          <w:szCs w:val="24"/>
          <w:lang w:val="ro-RO"/>
        </w:rPr>
        <w:t>care face parte integrantă din prezentul regulament;</w:t>
      </w:r>
    </w:p>
    <w:p w:rsidR="00B430DF" w:rsidRPr="001900FD" w:rsidRDefault="0053052C" w:rsidP="00BD2CC6">
      <w:pPr>
        <w:pStyle w:val="ListParagraph"/>
        <w:numPr>
          <w:ilvl w:val="0"/>
          <w:numId w:val="29"/>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C</w:t>
      </w:r>
      <w:r w:rsidR="00B430DF" w:rsidRPr="001900FD">
        <w:rPr>
          <w:rFonts w:ascii="Times New Roman" w:hAnsi="Times New Roman" w:cs="Times New Roman"/>
          <w:sz w:val="24"/>
          <w:szCs w:val="24"/>
          <w:lang w:val="ro-RO"/>
        </w:rPr>
        <w:t>urriculum-ul parcurs în cadrul instituţiei de învăţământ superior de la care provine solicitantul;</w:t>
      </w:r>
    </w:p>
    <w:p w:rsidR="00B430DF" w:rsidRPr="001900FD" w:rsidRDefault="0053052C" w:rsidP="00BD2CC6">
      <w:pPr>
        <w:pStyle w:val="ListParagraph"/>
        <w:numPr>
          <w:ilvl w:val="0"/>
          <w:numId w:val="29"/>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R</w:t>
      </w:r>
      <w:r w:rsidR="00B430DF" w:rsidRPr="001900FD">
        <w:rPr>
          <w:rFonts w:ascii="Times New Roman" w:hAnsi="Times New Roman" w:cs="Times New Roman"/>
          <w:sz w:val="24"/>
          <w:szCs w:val="24"/>
          <w:lang w:val="ro-RO"/>
        </w:rPr>
        <w:t>ezultatele examenelor şi referatelor ştiinţifice susţinute în cadrul studiilor doctorale efectuate în străinătate;</w:t>
      </w:r>
    </w:p>
    <w:p w:rsidR="00B430DF" w:rsidRPr="001900FD" w:rsidRDefault="0053052C" w:rsidP="00BD2CC6">
      <w:pPr>
        <w:pStyle w:val="ListParagraph"/>
        <w:numPr>
          <w:ilvl w:val="0"/>
          <w:numId w:val="29"/>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L</w:t>
      </w:r>
      <w:r w:rsidR="00B430DF" w:rsidRPr="001900FD">
        <w:rPr>
          <w:rFonts w:ascii="Times New Roman" w:hAnsi="Times New Roman" w:cs="Times New Roman"/>
          <w:sz w:val="24"/>
          <w:szCs w:val="24"/>
          <w:lang w:val="ro-RO"/>
        </w:rPr>
        <w:t>ista articolelor şi lucrărilor publicate în cadrul studiilor doctorale efectuate în străinătate.</w:t>
      </w:r>
    </w:p>
    <w:p w:rsidR="00B430DF" w:rsidRPr="001900FD" w:rsidRDefault="00B430DF" w:rsidP="0022210A">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(2) Dacă sunt necesare documente suplimentare, Comisia de specialitate comunică CRID toate documentele necesare pentru completarea dosarului şi CRID informează solicitantul. Procedura de evaluare se reia de la data completării dosarului, cu respectarea termenului de soluţionare a dosarului de recunoaştere.</w:t>
      </w:r>
    </w:p>
    <w:p w:rsidR="00B430DF" w:rsidRPr="001900FD" w:rsidRDefault="00B430DF" w:rsidP="00B430DF">
      <w:pPr>
        <w:jc w:val="both"/>
        <w:rPr>
          <w:rFonts w:ascii="Times New Roman" w:hAnsi="Times New Roman" w:cs="Times New Roman"/>
          <w:sz w:val="24"/>
          <w:szCs w:val="24"/>
          <w:lang w:val="ro-RO"/>
        </w:rPr>
      </w:pPr>
    </w:p>
    <w:p w:rsidR="001E71E6" w:rsidRPr="001900FD" w:rsidRDefault="00B430DF" w:rsidP="00B430DF">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 xml:space="preserve">Art. </w:t>
      </w:r>
      <w:r w:rsidR="00260BF9" w:rsidRPr="001900FD">
        <w:rPr>
          <w:rFonts w:ascii="Times New Roman" w:hAnsi="Times New Roman" w:cs="Times New Roman"/>
          <w:b/>
          <w:sz w:val="24"/>
          <w:szCs w:val="24"/>
          <w:lang w:val="ro-RO"/>
        </w:rPr>
        <w:t>2</w:t>
      </w:r>
      <w:r w:rsidR="00694537" w:rsidRPr="001900FD">
        <w:rPr>
          <w:rFonts w:ascii="Times New Roman" w:hAnsi="Times New Roman" w:cs="Times New Roman"/>
          <w:b/>
          <w:sz w:val="24"/>
          <w:szCs w:val="24"/>
          <w:lang w:val="ro-RO"/>
        </w:rPr>
        <w:t>0</w:t>
      </w:r>
      <w:r w:rsidRPr="001900FD">
        <w:rPr>
          <w:rFonts w:ascii="Times New Roman" w:hAnsi="Times New Roman" w:cs="Times New Roman"/>
          <w:sz w:val="24"/>
          <w:szCs w:val="24"/>
          <w:lang w:val="ro-RO"/>
        </w:rPr>
        <w:t xml:space="preserve">. </w:t>
      </w:r>
    </w:p>
    <w:p w:rsidR="00B430DF" w:rsidRPr="001900FD" w:rsidRDefault="00B430DF" w:rsidP="00B430DF">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(1) Comisia de specialitate în urma evaluării pronunţă, după caz, una dintre următoarele soluţii:</w:t>
      </w:r>
    </w:p>
    <w:p w:rsidR="00B430DF" w:rsidRPr="001900FD" w:rsidRDefault="00266BB7" w:rsidP="00BD2CC6">
      <w:pPr>
        <w:pStyle w:val="ListParagraph"/>
        <w:widowControl/>
        <w:numPr>
          <w:ilvl w:val="0"/>
          <w:numId w:val="30"/>
        </w:numPr>
        <w:tabs>
          <w:tab w:val="left" w:pos="1800"/>
          <w:tab w:val="left" w:pos="1980"/>
        </w:tabs>
        <w:autoSpaceDE/>
        <w:autoSpaceDN/>
        <w:ind w:left="709" w:hanging="283"/>
        <w:jc w:val="both"/>
        <w:rPr>
          <w:rFonts w:ascii="Times New Roman" w:hAnsi="Times New Roman" w:cs="Times New Roman"/>
          <w:sz w:val="24"/>
          <w:szCs w:val="24"/>
          <w:lang w:val="ro-RO"/>
        </w:rPr>
      </w:pPr>
      <w:r w:rsidRPr="001900FD">
        <w:rPr>
          <w:rFonts w:ascii="Times New Roman" w:hAnsi="Times New Roman" w:cs="Times New Roman"/>
          <w:i/>
          <w:sz w:val="24"/>
          <w:szCs w:val="24"/>
          <w:lang w:val="ro-RO"/>
        </w:rPr>
        <w:t>R</w:t>
      </w:r>
      <w:r w:rsidR="00B430DF" w:rsidRPr="001900FD">
        <w:rPr>
          <w:rFonts w:ascii="Times New Roman" w:hAnsi="Times New Roman" w:cs="Times New Roman"/>
          <w:i/>
          <w:sz w:val="24"/>
          <w:szCs w:val="24"/>
          <w:lang w:val="ro-RO"/>
        </w:rPr>
        <w:t>ecunoaşterea automată</w:t>
      </w:r>
      <w:r w:rsidR="00B430DF" w:rsidRPr="001900FD">
        <w:rPr>
          <w:rFonts w:ascii="Times New Roman" w:hAnsi="Times New Roman" w:cs="Times New Roman"/>
          <w:sz w:val="24"/>
          <w:szCs w:val="24"/>
          <w:lang w:val="ro-RO"/>
        </w:rPr>
        <w:t>, în cazul în care nu se constată diferenţe substanţiale în ceea ce priveşte elementele menţionate mai sus şi solicitantului i se poate echivala numărul minim de credite de studiu necesar înmatriculării în anul universitar în curs, prevăzut în regulamentul Universităţii POLITEHNICA din Bucureşti;</w:t>
      </w:r>
    </w:p>
    <w:p w:rsidR="00B430DF" w:rsidRPr="001900FD" w:rsidRDefault="00266BB7" w:rsidP="00BD2CC6">
      <w:pPr>
        <w:pStyle w:val="ListParagraph"/>
        <w:widowControl/>
        <w:numPr>
          <w:ilvl w:val="0"/>
          <w:numId w:val="30"/>
        </w:numPr>
        <w:tabs>
          <w:tab w:val="left" w:pos="1800"/>
          <w:tab w:val="left" w:pos="1980"/>
        </w:tabs>
        <w:autoSpaceDE/>
        <w:autoSpaceDN/>
        <w:ind w:left="709" w:hanging="283"/>
        <w:jc w:val="both"/>
        <w:rPr>
          <w:rFonts w:ascii="Times New Roman" w:hAnsi="Times New Roman" w:cs="Times New Roman"/>
          <w:sz w:val="24"/>
          <w:szCs w:val="24"/>
          <w:lang w:val="ro-RO"/>
        </w:rPr>
      </w:pPr>
      <w:r w:rsidRPr="001900FD">
        <w:rPr>
          <w:rFonts w:ascii="Times New Roman" w:hAnsi="Times New Roman" w:cs="Times New Roman"/>
          <w:i/>
          <w:sz w:val="24"/>
          <w:szCs w:val="24"/>
          <w:lang w:val="ro-RO"/>
        </w:rPr>
        <w:t>S</w:t>
      </w:r>
      <w:r w:rsidR="00B430DF" w:rsidRPr="001900FD">
        <w:rPr>
          <w:rFonts w:ascii="Times New Roman" w:hAnsi="Times New Roman" w:cs="Times New Roman"/>
          <w:i/>
          <w:sz w:val="24"/>
          <w:szCs w:val="24"/>
          <w:lang w:val="ro-RO"/>
        </w:rPr>
        <w:t>usţinerea de măsuri compensatorii</w:t>
      </w:r>
      <w:r w:rsidR="00B430DF" w:rsidRPr="001900FD">
        <w:rPr>
          <w:rFonts w:ascii="Times New Roman" w:hAnsi="Times New Roman" w:cs="Times New Roman"/>
          <w:sz w:val="24"/>
          <w:szCs w:val="24"/>
          <w:lang w:val="ro-RO"/>
        </w:rPr>
        <w:t>, respectiv examenele de diferenţă, în cazul în care se constată diferenţe substanţiale, care trebuie susţinute în vederea înscrierii solicitantului în anul de studiu corespunzător;</w:t>
      </w:r>
    </w:p>
    <w:p w:rsidR="00B430DF" w:rsidRPr="001900FD" w:rsidRDefault="00266BB7" w:rsidP="00BD2CC6">
      <w:pPr>
        <w:pStyle w:val="ListParagraph"/>
        <w:widowControl/>
        <w:numPr>
          <w:ilvl w:val="0"/>
          <w:numId w:val="30"/>
        </w:numPr>
        <w:tabs>
          <w:tab w:val="left" w:pos="1800"/>
          <w:tab w:val="left" w:pos="1980"/>
        </w:tabs>
        <w:autoSpaceDE/>
        <w:autoSpaceDN/>
        <w:ind w:left="709" w:hanging="283"/>
        <w:jc w:val="both"/>
        <w:rPr>
          <w:rFonts w:ascii="Times New Roman" w:hAnsi="Times New Roman" w:cs="Times New Roman"/>
          <w:sz w:val="24"/>
          <w:szCs w:val="24"/>
          <w:lang w:val="ro-RO"/>
        </w:rPr>
      </w:pPr>
      <w:r w:rsidRPr="001900FD">
        <w:rPr>
          <w:rFonts w:ascii="Times New Roman" w:hAnsi="Times New Roman" w:cs="Times New Roman"/>
          <w:i/>
          <w:sz w:val="24"/>
          <w:szCs w:val="24"/>
          <w:lang w:val="ro-RO"/>
        </w:rPr>
        <w:t>N</w:t>
      </w:r>
      <w:r w:rsidR="00B430DF" w:rsidRPr="001900FD">
        <w:rPr>
          <w:rFonts w:ascii="Times New Roman" w:hAnsi="Times New Roman" w:cs="Times New Roman"/>
          <w:i/>
          <w:sz w:val="24"/>
          <w:szCs w:val="24"/>
          <w:lang w:val="ro-RO"/>
        </w:rPr>
        <w:t>erecunoaşterea studiilor</w:t>
      </w:r>
      <w:r w:rsidR="00B430DF" w:rsidRPr="001900FD">
        <w:rPr>
          <w:rFonts w:ascii="Times New Roman" w:hAnsi="Times New Roman" w:cs="Times New Roman"/>
          <w:sz w:val="24"/>
          <w:szCs w:val="24"/>
          <w:lang w:val="ro-RO"/>
        </w:rPr>
        <w:t xml:space="preserve"> efectuate în ţară sau în străinătate datorită diferenţelor substanţiale.</w:t>
      </w:r>
    </w:p>
    <w:p w:rsidR="00B430DF" w:rsidRPr="001900FD" w:rsidRDefault="00B430DF" w:rsidP="00266BB7">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lastRenderedPageBreak/>
        <w:t xml:space="preserve">(2) Diferenţele substanţiale ce justifică </w:t>
      </w:r>
      <w:r w:rsidR="00266BB7" w:rsidRPr="001900FD">
        <w:rPr>
          <w:rFonts w:ascii="Times New Roman" w:hAnsi="Times New Roman" w:cs="Times New Roman"/>
          <w:sz w:val="24"/>
          <w:szCs w:val="24"/>
          <w:lang w:val="ro-RO"/>
        </w:rPr>
        <w:t>susţinerea de măsuri compensatorii, sau după caz nerecunoaşterea studiilor,</w:t>
      </w:r>
      <w:r w:rsidRPr="001900FD">
        <w:rPr>
          <w:rFonts w:ascii="Times New Roman" w:hAnsi="Times New Roman" w:cs="Times New Roman"/>
          <w:sz w:val="24"/>
          <w:szCs w:val="24"/>
          <w:lang w:val="ro-RO"/>
        </w:rPr>
        <w:t xml:space="preserve"> constau în:</w:t>
      </w:r>
    </w:p>
    <w:p w:rsidR="00B430DF" w:rsidRPr="001900FD" w:rsidRDefault="00266BB7" w:rsidP="00BD2CC6">
      <w:pPr>
        <w:pStyle w:val="ListParagraph"/>
        <w:numPr>
          <w:ilvl w:val="0"/>
          <w:numId w:val="32"/>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N</w:t>
      </w:r>
      <w:r w:rsidR="00B430DF" w:rsidRPr="001900FD">
        <w:rPr>
          <w:rFonts w:ascii="Times New Roman" w:hAnsi="Times New Roman" w:cs="Times New Roman"/>
          <w:sz w:val="24"/>
          <w:szCs w:val="24"/>
          <w:lang w:val="ro-RO"/>
        </w:rPr>
        <w:t>umărul insuficient de credite/puncte de studiu transferabile</w:t>
      </w:r>
      <w:r w:rsidR="00980882" w:rsidRPr="001900FD">
        <w:rPr>
          <w:rFonts w:ascii="Times New Roman" w:hAnsi="Times New Roman" w:cs="Times New Roman"/>
          <w:sz w:val="24"/>
          <w:szCs w:val="24"/>
          <w:lang w:val="ro-RO"/>
        </w:rPr>
        <w:t xml:space="preserve"> (ECTS)</w:t>
      </w:r>
      <w:r w:rsidR="00B430DF" w:rsidRPr="001900FD">
        <w:rPr>
          <w:rFonts w:ascii="Times New Roman" w:hAnsi="Times New Roman" w:cs="Times New Roman"/>
          <w:sz w:val="24"/>
          <w:szCs w:val="24"/>
          <w:lang w:val="ro-RO"/>
        </w:rPr>
        <w:t xml:space="preserve"> necesare înmatriculării în anul de studiu corespunzător pe care l-ar fi urmat şi la instituţia de învăţământ superior de provenienţă;</w:t>
      </w:r>
    </w:p>
    <w:p w:rsidR="00B430DF" w:rsidRPr="001900FD" w:rsidRDefault="00266BB7" w:rsidP="00BD2CC6">
      <w:pPr>
        <w:pStyle w:val="ListParagraph"/>
        <w:numPr>
          <w:ilvl w:val="0"/>
          <w:numId w:val="32"/>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N</w:t>
      </w:r>
      <w:r w:rsidR="00B430DF" w:rsidRPr="001900FD">
        <w:rPr>
          <w:rFonts w:ascii="Times New Roman" w:hAnsi="Times New Roman" w:cs="Times New Roman"/>
          <w:sz w:val="24"/>
          <w:szCs w:val="24"/>
          <w:lang w:val="ro-RO"/>
        </w:rPr>
        <w:t>umărul insuficient de discipline de specialitate studiate de solicitant în cadrul instituţiei de învăţământ superior de la care provine, raportat la numărul celor din planul de învăţământ al Universităţii POLITEHNICA din Bucureşti;</w:t>
      </w:r>
    </w:p>
    <w:p w:rsidR="00B430DF" w:rsidRPr="001900FD" w:rsidRDefault="00266BB7" w:rsidP="00BD2CC6">
      <w:pPr>
        <w:pStyle w:val="ListParagraph"/>
        <w:numPr>
          <w:ilvl w:val="0"/>
          <w:numId w:val="32"/>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N</w:t>
      </w:r>
      <w:r w:rsidR="00B430DF" w:rsidRPr="001900FD">
        <w:rPr>
          <w:rFonts w:ascii="Times New Roman" w:hAnsi="Times New Roman" w:cs="Times New Roman"/>
          <w:sz w:val="24"/>
          <w:szCs w:val="24"/>
          <w:lang w:val="ro-RO"/>
        </w:rPr>
        <w:t>epromovarea examenelor necesare, după caz, pentru continuarea studiilor doctorale;</w:t>
      </w:r>
    </w:p>
    <w:p w:rsidR="00B430DF" w:rsidRPr="001900FD" w:rsidRDefault="00266BB7" w:rsidP="00BD2CC6">
      <w:pPr>
        <w:pStyle w:val="ListParagraph"/>
        <w:numPr>
          <w:ilvl w:val="0"/>
          <w:numId w:val="32"/>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N</w:t>
      </w:r>
      <w:r w:rsidR="00B430DF" w:rsidRPr="001900FD">
        <w:rPr>
          <w:rFonts w:ascii="Times New Roman" w:hAnsi="Times New Roman" w:cs="Times New Roman"/>
          <w:sz w:val="24"/>
          <w:szCs w:val="24"/>
          <w:lang w:val="ro-RO"/>
        </w:rPr>
        <w:t>umărul insuficient de referate sau rezultate ştiinţifice, articole, lucrări publicate în cadrul studiilor doctorale efectuate în străinătate.</w:t>
      </w:r>
    </w:p>
    <w:p w:rsidR="00B430DF" w:rsidRPr="001900FD" w:rsidRDefault="00B430DF" w:rsidP="00266BB7">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(3) Comisia de specialitate înaintează CRID rezultatul evaluării în vederea emiterii deciziei finale. Rezultatul evaluării Comisiei de specialitate se consemnează într-un proces verbal care menţionează obligatoriu:</w:t>
      </w:r>
    </w:p>
    <w:p w:rsidR="00B430DF" w:rsidRPr="001900FD" w:rsidRDefault="00266BB7" w:rsidP="00BD2CC6">
      <w:pPr>
        <w:pStyle w:val="ListParagraph"/>
        <w:numPr>
          <w:ilvl w:val="0"/>
          <w:numId w:val="34"/>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Disciplineleparcurse</w:t>
      </w:r>
      <w:r w:rsidR="00B430DF" w:rsidRPr="001900FD">
        <w:rPr>
          <w:rFonts w:ascii="Times New Roman" w:hAnsi="Times New Roman" w:cs="Times New Roman"/>
          <w:sz w:val="24"/>
          <w:szCs w:val="24"/>
          <w:lang w:val="ro-RO"/>
        </w:rPr>
        <w:t xml:space="preserve"> la instituţia de învăţământ superior de provenienţă şi recunoscute;</w:t>
      </w:r>
    </w:p>
    <w:p w:rsidR="00B430DF" w:rsidRPr="001900FD" w:rsidRDefault="00027142" w:rsidP="00BD2CC6">
      <w:pPr>
        <w:pStyle w:val="ListParagraph"/>
        <w:numPr>
          <w:ilvl w:val="0"/>
          <w:numId w:val="34"/>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Examenele</w:t>
      </w:r>
      <w:r w:rsidR="00B430DF" w:rsidRPr="001900FD">
        <w:rPr>
          <w:rFonts w:ascii="Times New Roman" w:hAnsi="Times New Roman" w:cs="Times New Roman"/>
          <w:sz w:val="24"/>
          <w:szCs w:val="24"/>
          <w:lang w:val="ro-RO"/>
        </w:rPr>
        <w:t xml:space="preserve"> ce vor fi </w:t>
      </w:r>
      <w:r w:rsidRPr="001900FD">
        <w:rPr>
          <w:rFonts w:ascii="Times New Roman" w:hAnsi="Times New Roman" w:cs="Times New Roman"/>
          <w:sz w:val="24"/>
          <w:szCs w:val="24"/>
          <w:lang w:val="ro-RO"/>
        </w:rPr>
        <w:t>susţinute</w:t>
      </w:r>
      <w:r w:rsidR="00B430DF" w:rsidRPr="001900FD">
        <w:rPr>
          <w:rFonts w:ascii="Times New Roman" w:hAnsi="Times New Roman" w:cs="Times New Roman"/>
          <w:sz w:val="24"/>
          <w:szCs w:val="24"/>
          <w:lang w:val="ro-RO"/>
        </w:rPr>
        <w:t xml:space="preserve"> la Universitatea POLITEHNICA din Bucureşti ca măsuri compensatorii;</w:t>
      </w:r>
    </w:p>
    <w:p w:rsidR="00B430DF" w:rsidRPr="001900FD" w:rsidRDefault="00266BB7" w:rsidP="00BD2CC6">
      <w:pPr>
        <w:pStyle w:val="ListParagraph"/>
        <w:numPr>
          <w:ilvl w:val="0"/>
          <w:numId w:val="34"/>
        </w:numPr>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P</w:t>
      </w:r>
      <w:r w:rsidR="00B430DF" w:rsidRPr="001900FD">
        <w:rPr>
          <w:rFonts w:ascii="Times New Roman" w:hAnsi="Times New Roman" w:cs="Times New Roman"/>
          <w:sz w:val="24"/>
          <w:szCs w:val="24"/>
          <w:lang w:val="ro-RO"/>
        </w:rPr>
        <w:t>ropunerea de înmatriculare în anul de studii corespunzător.</w:t>
      </w:r>
    </w:p>
    <w:p w:rsidR="00B430DF" w:rsidRPr="001900FD" w:rsidRDefault="00B430DF" w:rsidP="00B430DF">
      <w:pPr>
        <w:jc w:val="both"/>
        <w:rPr>
          <w:lang w:val="ro-RO"/>
        </w:rPr>
      </w:pPr>
    </w:p>
    <w:p w:rsidR="00027142" w:rsidRPr="001900FD" w:rsidRDefault="00B430DF" w:rsidP="00B430DF">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 xml:space="preserve">Art. </w:t>
      </w:r>
      <w:r w:rsidR="00266BB7" w:rsidRPr="001900FD">
        <w:rPr>
          <w:rFonts w:ascii="Times New Roman" w:hAnsi="Times New Roman" w:cs="Times New Roman"/>
          <w:b/>
          <w:sz w:val="24"/>
          <w:szCs w:val="24"/>
          <w:lang w:val="ro-RO"/>
        </w:rPr>
        <w:t>2</w:t>
      </w:r>
      <w:r w:rsidR="00694537" w:rsidRPr="001900FD">
        <w:rPr>
          <w:rFonts w:ascii="Times New Roman" w:hAnsi="Times New Roman" w:cs="Times New Roman"/>
          <w:b/>
          <w:sz w:val="24"/>
          <w:szCs w:val="24"/>
          <w:lang w:val="ro-RO"/>
        </w:rPr>
        <w:t>1</w:t>
      </w:r>
      <w:r w:rsidRPr="001900FD">
        <w:rPr>
          <w:rFonts w:ascii="Times New Roman" w:hAnsi="Times New Roman" w:cs="Times New Roman"/>
          <w:b/>
          <w:sz w:val="24"/>
          <w:szCs w:val="24"/>
          <w:lang w:val="ro-RO"/>
        </w:rPr>
        <w:t>.</w:t>
      </w:r>
    </w:p>
    <w:p w:rsidR="00B430DF" w:rsidRPr="001900FD" w:rsidRDefault="00B430DF" w:rsidP="00B430DF">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(1) CRID comunică solicitantului decizia finală prin poştă şi poşta electronică. În cazul deciziei de susţinere a examenelor de diferenţă, solicitantul trebuie să declare în scris acordul său cu privire la susţinerea examenelor de diferenţă în termen de două zile lucrătoare de la data comunicării, prin poştă şi poşta electronică.</w:t>
      </w:r>
    </w:p>
    <w:p w:rsidR="00B430DF" w:rsidRPr="001900FD" w:rsidRDefault="00B430DF" w:rsidP="00027142">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(2) Dacă solicitantul declară acordul de susţinere a examenelor de diferenţă, CRID comunică facultăţii decizia şi condiţiile de recunoaştere a studiilor în vederea înmatriculării în anul de studii corespunzător.</w:t>
      </w:r>
    </w:p>
    <w:p w:rsidR="00B430DF" w:rsidRPr="001900FD" w:rsidRDefault="00B430DF" w:rsidP="00027142">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(3) Dacă solicitantul nu declară acordul său în termenul stabilit, se consideră că a renunţat la recunoaşterea perioadelor de studii şi, pe baza unei declaraţii, poate retrage dosarul de recunoaştere.</w:t>
      </w:r>
    </w:p>
    <w:p w:rsidR="00B430DF" w:rsidRPr="001900FD" w:rsidRDefault="00B430DF" w:rsidP="00027142">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(4) Modelul pentru acordul privind susţinerea examenelor de diferenţă se publică pe </w:t>
      </w:r>
      <w:r w:rsidR="00027142" w:rsidRPr="001900FD">
        <w:rPr>
          <w:rFonts w:ascii="Times New Roman" w:hAnsi="Times New Roman" w:cs="Times New Roman"/>
          <w:sz w:val="24"/>
          <w:szCs w:val="24"/>
          <w:lang w:val="ro-RO"/>
        </w:rPr>
        <w:t xml:space="preserve">pagina web a Departamentului de Relaţii </w:t>
      </w:r>
      <w:r w:rsidR="00025C40" w:rsidRPr="001900FD">
        <w:rPr>
          <w:rFonts w:ascii="Times New Roman" w:hAnsi="Times New Roman" w:cs="Times New Roman"/>
          <w:sz w:val="24"/>
          <w:szCs w:val="24"/>
          <w:lang w:val="ro-RO"/>
        </w:rPr>
        <w:t>Internaţionale.</w:t>
      </w:r>
    </w:p>
    <w:p w:rsidR="00B430DF" w:rsidRPr="001900FD" w:rsidRDefault="00B430DF" w:rsidP="00B430DF">
      <w:pPr>
        <w:jc w:val="both"/>
        <w:rPr>
          <w:lang w:val="ro-RO"/>
        </w:rPr>
      </w:pPr>
    </w:p>
    <w:p w:rsidR="00025C40" w:rsidRPr="001900FD" w:rsidRDefault="00B430DF" w:rsidP="00B430DF">
      <w:pPr>
        <w:jc w:val="both"/>
        <w:rPr>
          <w:rFonts w:ascii="Times New Roman" w:hAnsi="Times New Roman" w:cs="Times New Roman"/>
          <w:b/>
          <w:sz w:val="24"/>
          <w:szCs w:val="24"/>
          <w:lang w:val="ro-RO"/>
        </w:rPr>
      </w:pPr>
      <w:r w:rsidRPr="001900FD">
        <w:rPr>
          <w:rFonts w:ascii="Times New Roman" w:hAnsi="Times New Roman" w:cs="Times New Roman"/>
          <w:b/>
          <w:sz w:val="24"/>
          <w:szCs w:val="24"/>
          <w:lang w:val="ro-RO"/>
        </w:rPr>
        <w:t xml:space="preserve">Art. </w:t>
      </w:r>
      <w:r w:rsidR="00025C40" w:rsidRPr="001900FD">
        <w:rPr>
          <w:rFonts w:ascii="Times New Roman" w:hAnsi="Times New Roman" w:cs="Times New Roman"/>
          <w:b/>
          <w:sz w:val="24"/>
          <w:szCs w:val="24"/>
          <w:lang w:val="ro-RO"/>
        </w:rPr>
        <w:t>2</w:t>
      </w:r>
      <w:r w:rsidR="00694537" w:rsidRPr="001900FD">
        <w:rPr>
          <w:rFonts w:ascii="Times New Roman" w:hAnsi="Times New Roman" w:cs="Times New Roman"/>
          <w:b/>
          <w:sz w:val="24"/>
          <w:szCs w:val="24"/>
          <w:lang w:val="ro-RO"/>
        </w:rPr>
        <w:t>2</w:t>
      </w:r>
      <w:r w:rsidRPr="001900FD">
        <w:rPr>
          <w:rFonts w:ascii="Times New Roman" w:hAnsi="Times New Roman" w:cs="Times New Roman"/>
          <w:b/>
          <w:sz w:val="24"/>
          <w:szCs w:val="24"/>
          <w:lang w:val="ro-RO"/>
        </w:rPr>
        <w:t xml:space="preserve">. </w:t>
      </w:r>
    </w:p>
    <w:p w:rsidR="00B430DF" w:rsidRPr="001900FD" w:rsidRDefault="00B430DF" w:rsidP="00B430DF">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Contestaţiile la deciziile de recunoaştere pot fi depuse la </w:t>
      </w:r>
      <w:r w:rsidR="00025C40" w:rsidRPr="001900FD">
        <w:rPr>
          <w:rFonts w:ascii="Times New Roman" w:hAnsi="Times New Roman" w:cs="Times New Roman"/>
          <w:sz w:val="24"/>
          <w:szCs w:val="24"/>
          <w:lang w:val="ro-RO"/>
        </w:rPr>
        <w:t>CRID</w:t>
      </w:r>
      <w:r w:rsidRPr="001900FD">
        <w:rPr>
          <w:rFonts w:ascii="Times New Roman" w:hAnsi="Times New Roman" w:cs="Times New Roman"/>
          <w:sz w:val="24"/>
          <w:szCs w:val="24"/>
          <w:lang w:val="ro-RO"/>
        </w:rPr>
        <w:t xml:space="preserve"> în termen de maximum 3 zile lucrătoare de la data confirmării prin poştă a primirii deciziei de recunoaştere.</w:t>
      </w:r>
    </w:p>
    <w:p w:rsidR="00B430DF" w:rsidRPr="001900FD" w:rsidRDefault="00B430DF" w:rsidP="00025C40">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(2) </w:t>
      </w:r>
      <w:r w:rsidR="00025C40" w:rsidRPr="001900FD">
        <w:rPr>
          <w:rFonts w:ascii="Times New Roman" w:hAnsi="Times New Roman" w:cs="Times New Roman"/>
          <w:sz w:val="24"/>
          <w:szCs w:val="24"/>
          <w:lang w:val="ro-RO"/>
        </w:rPr>
        <w:t>Prorectorul însărcinat cu activitatea de internaţionalizare</w:t>
      </w:r>
      <w:r w:rsidR="002A74E4" w:rsidRPr="001900FD">
        <w:rPr>
          <w:rFonts w:ascii="Times New Roman" w:hAnsi="Times New Roman" w:cs="Times New Roman"/>
          <w:sz w:val="24"/>
          <w:szCs w:val="24"/>
          <w:lang w:val="ro-RO"/>
        </w:rPr>
        <w:t xml:space="preserve"> convoacă în </w:t>
      </w:r>
      <w:r w:rsidRPr="001900FD">
        <w:rPr>
          <w:rFonts w:ascii="Times New Roman" w:hAnsi="Times New Roman" w:cs="Times New Roman"/>
          <w:sz w:val="24"/>
          <w:szCs w:val="24"/>
          <w:lang w:val="ro-RO"/>
        </w:rPr>
        <w:t>termen de două zile lucrătoare, comisia de contestaţii, desemnat</w:t>
      </w:r>
      <w:r w:rsidR="00025C40" w:rsidRPr="001900FD">
        <w:rPr>
          <w:rFonts w:ascii="Times New Roman" w:hAnsi="Times New Roman" w:cs="Times New Roman"/>
          <w:sz w:val="24"/>
          <w:szCs w:val="24"/>
          <w:lang w:val="ro-RO"/>
        </w:rPr>
        <w:t>ă</w:t>
      </w:r>
      <w:r w:rsidRPr="001900FD">
        <w:rPr>
          <w:rFonts w:ascii="Times New Roman" w:hAnsi="Times New Roman" w:cs="Times New Roman"/>
          <w:sz w:val="24"/>
          <w:szCs w:val="24"/>
          <w:lang w:val="ro-RO"/>
        </w:rPr>
        <w:t xml:space="preserve"> conform prevederilor </w:t>
      </w:r>
      <w:r w:rsidR="00025C40" w:rsidRPr="001900FD">
        <w:rPr>
          <w:rFonts w:ascii="Times New Roman" w:hAnsi="Times New Roman" w:cs="Times New Roman"/>
          <w:sz w:val="24"/>
          <w:szCs w:val="24"/>
          <w:lang w:val="ro-RO"/>
        </w:rPr>
        <w:t>A</w:t>
      </w:r>
      <w:r w:rsidRPr="001900FD">
        <w:rPr>
          <w:rFonts w:ascii="Times New Roman" w:hAnsi="Times New Roman" w:cs="Times New Roman"/>
          <w:sz w:val="24"/>
          <w:szCs w:val="24"/>
          <w:lang w:val="ro-RO"/>
        </w:rPr>
        <w:t xml:space="preserve">rt. </w:t>
      </w:r>
      <w:r w:rsidR="00E156B5" w:rsidRPr="001900FD">
        <w:rPr>
          <w:rFonts w:ascii="Times New Roman" w:hAnsi="Times New Roman" w:cs="Times New Roman"/>
          <w:sz w:val="24"/>
          <w:szCs w:val="24"/>
          <w:lang w:val="ro-RO"/>
        </w:rPr>
        <w:t>9</w:t>
      </w:r>
      <w:r w:rsidRPr="001900FD">
        <w:rPr>
          <w:rFonts w:ascii="Times New Roman" w:hAnsi="Times New Roman" w:cs="Times New Roman"/>
          <w:sz w:val="24"/>
          <w:szCs w:val="24"/>
          <w:lang w:val="ro-RO"/>
        </w:rPr>
        <w:t>.</w:t>
      </w:r>
    </w:p>
    <w:p w:rsidR="00B430DF" w:rsidRPr="001900FD" w:rsidRDefault="00B430DF" w:rsidP="00025C40">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(3) Contestaţia se soluţioneză în termen de 3 zile lucrătoare de la data convocării comisiei de contestaţii. Decizia comisiei de contestaţii este definitivă la nivelul universităţii şi se comunică de către CRID în vederea informării facultăţii şi a solicitantului. În cazul admiterii contestaţiei, se reia procedura prevăzută la </w:t>
      </w:r>
      <w:r w:rsidR="00E156B5" w:rsidRPr="001900FD">
        <w:rPr>
          <w:rFonts w:ascii="Times New Roman" w:hAnsi="Times New Roman" w:cs="Times New Roman"/>
          <w:sz w:val="24"/>
          <w:szCs w:val="24"/>
          <w:lang w:val="ro-RO"/>
        </w:rPr>
        <w:t>A</w:t>
      </w:r>
      <w:r w:rsidRPr="001900FD">
        <w:rPr>
          <w:rFonts w:ascii="Times New Roman" w:hAnsi="Times New Roman" w:cs="Times New Roman"/>
          <w:sz w:val="24"/>
          <w:szCs w:val="24"/>
          <w:lang w:val="ro-RO"/>
        </w:rPr>
        <w:t>rt. 1</w:t>
      </w:r>
      <w:r w:rsidR="00E156B5" w:rsidRPr="001900FD">
        <w:rPr>
          <w:rFonts w:ascii="Times New Roman" w:hAnsi="Times New Roman" w:cs="Times New Roman"/>
          <w:sz w:val="24"/>
          <w:szCs w:val="24"/>
          <w:lang w:val="ro-RO"/>
        </w:rPr>
        <w:t>6</w:t>
      </w:r>
      <w:r w:rsidRPr="001900FD">
        <w:rPr>
          <w:rFonts w:ascii="Times New Roman" w:hAnsi="Times New Roman" w:cs="Times New Roman"/>
          <w:sz w:val="24"/>
          <w:szCs w:val="24"/>
          <w:lang w:val="ro-RO"/>
        </w:rPr>
        <w:t>.</w:t>
      </w:r>
    </w:p>
    <w:p w:rsidR="00B430DF" w:rsidRPr="001900FD" w:rsidRDefault="00B430DF" w:rsidP="00B430DF">
      <w:pPr>
        <w:jc w:val="both"/>
        <w:rPr>
          <w:lang w:val="ro-RO"/>
        </w:rPr>
      </w:pPr>
    </w:p>
    <w:p w:rsidR="00980882" w:rsidRPr="001900FD" w:rsidRDefault="00980882" w:rsidP="00B430DF">
      <w:pPr>
        <w:jc w:val="both"/>
        <w:rPr>
          <w:rFonts w:ascii="Times New Roman" w:hAnsi="Times New Roman" w:cs="Times New Roman"/>
          <w:b/>
          <w:sz w:val="24"/>
          <w:szCs w:val="24"/>
          <w:lang w:val="ro-RO"/>
        </w:rPr>
      </w:pPr>
    </w:p>
    <w:p w:rsidR="00025C40" w:rsidRPr="001900FD" w:rsidRDefault="00B430DF" w:rsidP="00B430DF">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lastRenderedPageBreak/>
        <w:t xml:space="preserve">Art. </w:t>
      </w:r>
      <w:r w:rsidR="00025C40" w:rsidRPr="001900FD">
        <w:rPr>
          <w:rFonts w:ascii="Times New Roman" w:hAnsi="Times New Roman" w:cs="Times New Roman"/>
          <w:b/>
          <w:sz w:val="24"/>
          <w:szCs w:val="24"/>
          <w:lang w:val="ro-RO"/>
        </w:rPr>
        <w:t>2</w:t>
      </w:r>
      <w:r w:rsidR="00694537" w:rsidRPr="001900FD">
        <w:rPr>
          <w:rFonts w:ascii="Times New Roman" w:hAnsi="Times New Roman" w:cs="Times New Roman"/>
          <w:b/>
          <w:sz w:val="24"/>
          <w:szCs w:val="24"/>
          <w:lang w:val="ro-RO"/>
        </w:rPr>
        <w:t>3</w:t>
      </w:r>
      <w:r w:rsidRPr="001900FD">
        <w:rPr>
          <w:rFonts w:ascii="Times New Roman" w:hAnsi="Times New Roman" w:cs="Times New Roman"/>
          <w:sz w:val="24"/>
          <w:szCs w:val="24"/>
          <w:lang w:val="ro-RO"/>
        </w:rPr>
        <w:t xml:space="preserve">. </w:t>
      </w:r>
    </w:p>
    <w:p w:rsidR="00B430DF" w:rsidRPr="001900FD" w:rsidRDefault="007079DE" w:rsidP="00B430DF">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B430DF" w:rsidRPr="001900FD">
        <w:rPr>
          <w:rFonts w:ascii="Times New Roman" w:hAnsi="Times New Roman" w:cs="Times New Roman"/>
          <w:sz w:val="24"/>
          <w:szCs w:val="24"/>
          <w:lang w:val="ro-RO"/>
        </w:rPr>
        <w:t>Perioadele de studii efectuate anterior mobilităţii externe, în cadrul unor programe de studii din România neacreditate sau neautorizate să funcţioneze provizoriu, sunt recunoscute, după susţinerea examenelor de selecţie, cu respectarea normelor legale în vigoare.</w:t>
      </w:r>
    </w:p>
    <w:p w:rsidR="00B430DF" w:rsidRPr="001900FD" w:rsidRDefault="00B430DF" w:rsidP="00B430DF">
      <w:pPr>
        <w:ind w:left="1440"/>
        <w:jc w:val="both"/>
        <w:rPr>
          <w:rFonts w:ascii="Times New Roman" w:hAnsi="Times New Roman" w:cs="Times New Roman"/>
          <w:sz w:val="24"/>
          <w:szCs w:val="24"/>
          <w:lang w:val="ro-RO"/>
        </w:rPr>
      </w:pPr>
    </w:p>
    <w:p w:rsidR="00025C40" w:rsidRPr="001900FD" w:rsidRDefault="00B430DF" w:rsidP="00B430DF">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Art. 2</w:t>
      </w:r>
      <w:r w:rsidR="00694537" w:rsidRPr="001900FD">
        <w:rPr>
          <w:rFonts w:ascii="Times New Roman" w:hAnsi="Times New Roman" w:cs="Times New Roman"/>
          <w:b/>
          <w:sz w:val="24"/>
          <w:szCs w:val="24"/>
          <w:lang w:val="ro-RO"/>
        </w:rPr>
        <w:t>4</w:t>
      </w:r>
      <w:r w:rsidRPr="001900FD">
        <w:rPr>
          <w:rFonts w:ascii="Times New Roman" w:hAnsi="Times New Roman" w:cs="Times New Roman"/>
          <w:sz w:val="24"/>
          <w:szCs w:val="24"/>
          <w:lang w:val="ro-RO"/>
        </w:rPr>
        <w:t xml:space="preserve">. </w:t>
      </w:r>
    </w:p>
    <w:p w:rsidR="00B430DF" w:rsidRPr="001900FD" w:rsidRDefault="007079DE" w:rsidP="00B430DF">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B430DF" w:rsidRPr="001900FD">
        <w:rPr>
          <w:rFonts w:ascii="Times New Roman" w:hAnsi="Times New Roman" w:cs="Times New Roman"/>
          <w:sz w:val="24"/>
          <w:szCs w:val="24"/>
          <w:lang w:val="ro-RO"/>
        </w:rPr>
        <w:t>Suplimentul la diploma de licenţă şi la diploma de master se completează, în urma recunoaşterii perioadei de studii efectuate în străinătate, la sectiunea a 5-a “Informaţii suplimentare”, cu următoarele: anii de studii echivalaţi, instituţia de învăţământ superior de provenienţă, menţiunea privind susţinerea examenelor de diferenţă sau a examenelor de selecţie, după caz, precum şi documentul eliberat de către Ministerul Educaţiei</w:t>
      </w:r>
      <w:r w:rsidR="00025C40" w:rsidRPr="001900FD">
        <w:rPr>
          <w:rFonts w:ascii="Times New Roman" w:hAnsi="Times New Roman" w:cs="Times New Roman"/>
          <w:sz w:val="24"/>
          <w:szCs w:val="24"/>
          <w:lang w:val="ro-RO"/>
        </w:rPr>
        <w:t xml:space="preserve"> şi</w:t>
      </w:r>
      <w:r w:rsidR="00B430DF" w:rsidRPr="001900FD">
        <w:rPr>
          <w:rFonts w:ascii="Times New Roman" w:hAnsi="Times New Roman" w:cs="Times New Roman"/>
          <w:sz w:val="24"/>
          <w:szCs w:val="24"/>
          <w:lang w:val="ro-RO"/>
        </w:rPr>
        <w:t xml:space="preserve"> Cercetării pentru aprobarea continuării studiilor.</w:t>
      </w:r>
    </w:p>
    <w:p w:rsidR="00986598" w:rsidRPr="001900FD" w:rsidRDefault="00986598" w:rsidP="00D45D21">
      <w:pPr>
        <w:jc w:val="both"/>
        <w:rPr>
          <w:lang w:val="ro-RO"/>
        </w:rPr>
      </w:pPr>
    </w:p>
    <w:p w:rsidR="001805D9" w:rsidRPr="001900FD" w:rsidRDefault="001805D9" w:rsidP="001805D9">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Art. 2</w:t>
      </w:r>
      <w:r w:rsidR="00694537" w:rsidRPr="001900FD">
        <w:rPr>
          <w:rFonts w:ascii="Times New Roman" w:hAnsi="Times New Roman" w:cs="Times New Roman"/>
          <w:b/>
          <w:sz w:val="24"/>
          <w:szCs w:val="24"/>
          <w:lang w:val="ro-RO"/>
        </w:rPr>
        <w:t>5</w:t>
      </w:r>
      <w:r w:rsidRPr="001900FD">
        <w:rPr>
          <w:rFonts w:ascii="Times New Roman" w:hAnsi="Times New Roman" w:cs="Times New Roman"/>
          <w:sz w:val="24"/>
          <w:szCs w:val="24"/>
          <w:lang w:val="ro-RO"/>
        </w:rPr>
        <w:t xml:space="preserve">. </w:t>
      </w:r>
    </w:p>
    <w:p w:rsidR="001805D9" w:rsidRPr="001900FD" w:rsidRDefault="007079DE" w:rsidP="00603FA6">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AA6855">
        <w:rPr>
          <w:rFonts w:ascii="Times New Roman" w:hAnsi="Times New Roman" w:cs="Times New Roman"/>
          <w:sz w:val="24"/>
          <w:szCs w:val="24"/>
          <w:lang w:val="ro-RO"/>
        </w:rPr>
        <w:t>După decizia de recunoaş</w:t>
      </w:r>
      <w:r w:rsidR="00D50A55" w:rsidRPr="001900FD">
        <w:rPr>
          <w:rFonts w:ascii="Times New Roman" w:hAnsi="Times New Roman" w:cs="Times New Roman"/>
          <w:sz w:val="24"/>
          <w:szCs w:val="24"/>
          <w:lang w:val="ro-RO"/>
        </w:rPr>
        <w:t xml:space="preserve">tere, </w:t>
      </w:r>
      <w:r w:rsidR="001805D9" w:rsidRPr="001900FD">
        <w:rPr>
          <w:rFonts w:ascii="Times New Roman" w:hAnsi="Times New Roman" w:cs="Times New Roman"/>
          <w:sz w:val="24"/>
          <w:szCs w:val="24"/>
          <w:lang w:val="ro-RO"/>
        </w:rPr>
        <w:t xml:space="preserve">CRID transmite </w:t>
      </w:r>
      <w:r w:rsidR="00D07544" w:rsidRPr="001900FD">
        <w:rPr>
          <w:rFonts w:ascii="Times New Roman" w:hAnsi="Times New Roman" w:cs="Times New Roman"/>
          <w:sz w:val="24"/>
          <w:szCs w:val="24"/>
          <w:lang w:val="ro-RO"/>
        </w:rPr>
        <w:t xml:space="preserve">dosarul </w:t>
      </w:r>
      <w:r w:rsidR="00AA6855">
        <w:rPr>
          <w:rFonts w:ascii="Times New Roman" w:hAnsi="Times New Roman" w:cs="Times New Roman"/>
          <w:sz w:val="24"/>
          <w:szCs w:val="24"/>
          <w:lang w:val="ro-RO"/>
        </w:rPr>
        <w:t>Ministerului Educaţiei ş</w:t>
      </w:r>
      <w:r w:rsidR="001805D9" w:rsidRPr="001900FD">
        <w:rPr>
          <w:rFonts w:ascii="Times New Roman" w:hAnsi="Times New Roman" w:cs="Times New Roman"/>
          <w:sz w:val="24"/>
          <w:szCs w:val="24"/>
          <w:lang w:val="ro-RO"/>
        </w:rPr>
        <w:t xml:space="preserve">i </w:t>
      </w:r>
      <w:r w:rsidR="00D96718" w:rsidRPr="001900FD">
        <w:rPr>
          <w:rFonts w:ascii="Times New Roman" w:hAnsi="Times New Roman" w:cs="Times New Roman"/>
          <w:sz w:val="24"/>
          <w:szCs w:val="24"/>
          <w:lang w:val="ro-RO"/>
        </w:rPr>
        <w:t>C</w:t>
      </w:r>
      <w:r w:rsidR="00AA6855">
        <w:rPr>
          <w:rFonts w:ascii="Times New Roman" w:hAnsi="Times New Roman" w:cs="Times New Roman"/>
          <w:sz w:val="24"/>
          <w:szCs w:val="24"/>
          <w:lang w:val="ro-RO"/>
        </w:rPr>
        <w:t>ercetă</w:t>
      </w:r>
      <w:r w:rsidR="001805D9" w:rsidRPr="001900FD">
        <w:rPr>
          <w:rFonts w:ascii="Times New Roman" w:hAnsi="Times New Roman" w:cs="Times New Roman"/>
          <w:sz w:val="24"/>
          <w:szCs w:val="24"/>
          <w:lang w:val="ro-RO"/>
        </w:rPr>
        <w:t xml:space="preserve">rii </w:t>
      </w:r>
      <w:r w:rsidR="00D50A55" w:rsidRPr="001900FD">
        <w:rPr>
          <w:rFonts w:ascii="Times New Roman" w:hAnsi="Times New Roman" w:cs="Times New Roman"/>
          <w:sz w:val="24"/>
          <w:szCs w:val="24"/>
          <w:lang w:val="ro-RO"/>
        </w:rPr>
        <w:t>pentru</w:t>
      </w:r>
      <w:r w:rsidR="00AA6855">
        <w:rPr>
          <w:rFonts w:ascii="Times New Roman" w:hAnsi="Times New Roman" w:cs="Times New Roman"/>
          <w:sz w:val="24"/>
          <w:szCs w:val="24"/>
          <w:lang w:val="ro-RO"/>
        </w:rPr>
        <w:t xml:space="preserve"> </w:t>
      </w:r>
      <w:r w:rsidR="00935C20" w:rsidRPr="001900FD">
        <w:rPr>
          <w:rFonts w:ascii="Times New Roman" w:hAnsi="Times New Roman" w:cs="Times New Roman"/>
          <w:sz w:val="24"/>
          <w:szCs w:val="24"/>
          <w:lang w:val="ro-RO"/>
        </w:rPr>
        <w:t xml:space="preserve">emiterea scrisorii </w:t>
      </w:r>
      <w:r w:rsidR="008316A6" w:rsidRPr="001900FD">
        <w:rPr>
          <w:rFonts w:ascii="Times New Roman" w:hAnsi="Times New Roman" w:cs="Times New Roman"/>
          <w:sz w:val="24"/>
          <w:szCs w:val="24"/>
          <w:lang w:val="ro-RO"/>
        </w:rPr>
        <w:t>de accept</w:t>
      </w:r>
      <w:r w:rsidR="000A67FE" w:rsidRPr="001900FD">
        <w:rPr>
          <w:rFonts w:ascii="Times New Roman" w:hAnsi="Times New Roman" w:cs="Times New Roman"/>
          <w:sz w:val="24"/>
          <w:szCs w:val="24"/>
          <w:lang w:val="ro-RO"/>
        </w:rPr>
        <w:t>are</w:t>
      </w:r>
      <w:r w:rsidR="00935C20" w:rsidRPr="001900FD">
        <w:rPr>
          <w:rFonts w:ascii="Times New Roman" w:hAnsi="Times New Roman" w:cs="Times New Roman"/>
          <w:sz w:val="24"/>
          <w:szCs w:val="24"/>
          <w:lang w:val="ro-RO"/>
        </w:rPr>
        <w:t xml:space="preserve"> la studii</w:t>
      </w:r>
      <w:r w:rsidR="00603FA6" w:rsidRPr="001900FD">
        <w:rPr>
          <w:rFonts w:ascii="Times New Roman" w:hAnsi="Times New Roman" w:cs="Times New Roman"/>
          <w:sz w:val="24"/>
          <w:szCs w:val="24"/>
          <w:lang w:val="ro-RO"/>
        </w:rPr>
        <w:t xml:space="preserve">, durata </w:t>
      </w:r>
      <w:r w:rsidR="00D07544" w:rsidRPr="001900FD">
        <w:rPr>
          <w:rFonts w:ascii="Times New Roman" w:hAnsi="Times New Roman" w:cs="Times New Roman"/>
          <w:sz w:val="24"/>
          <w:szCs w:val="24"/>
          <w:lang w:val="ro-RO"/>
        </w:rPr>
        <w:t xml:space="preserve">procesului </w:t>
      </w:r>
      <w:r w:rsidR="00603FA6" w:rsidRPr="001900FD">
        <w:rPr>
          <w:rFonts w:ascii="Times New Roman" w:hAnsi="Times New Roman" w:cs="Times New Roman"/>
          <w:sz w:val="24"/>
          <w:szCs w:val="24"/>
          <w:lang w:val="ro-RO"/>
        </w:rPr>
        <w:t>fiind de maximum 30 de zile lucrătoare de la data înregistrării dosarului complet.</w:t>
      </w:r>
    </w:p>
    <w:p w:rsidR="00AF4EE9" w:rsidRPr="001900FD" w:rsidRDefault="007079DE" w:rsidP="00AF4EE9">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(2) </w:t>
      </w:r>
      <w:r w:rsidR="00260BF9" w:rsidRPr="001900FD">
        <w:rPr>
          <w:rFonts w:ascii="Times New Roman" w:hAnsi="Times New Roman" w:cs="Times New Roman"/>
          <w:sz w:val="24"/>
          <w:szCs w:val="24"/>
          <w:lang w:val="ro-RO"/>
        </w:rPr>
        <w:t>Scrisoarea de accept</w:t>
      </w:r>
      <w:r w:rsidR="00204F6D" w:rsidRPr="001900FD">
        <w:rPr>
          <w:rFonts w:ascii="Times New Roman" w:hAnsi="Times New Roman" w:cs="Times New Roman"/>
          <w:sz w:val="24"/>
          <w:szCs w:val="24"/>
          <w:lang w:val="ro-RO"/>
        </w:rPr>
        <w:t>are</w:t>
      </w:r>
      <w:r w:rsidR="00AA6855">
        <w:rPr>
          <w:rFonts w:ascii="Times New Roman" w:hAnsi="Times New Roman" w:cs="Times New Roman"/>
          <w:sz w:val="24"/>
          <w:szCs w:val="24"/>
          <w:lang w:val="ro-RO"/>
        </w:rPr>
        <w:t xml:space="preserve"> sau atestatul de recunoaş</w:t>
      </w:r>
      <w:r w:rsidR="00260BF9" w:rsidRPr="001900FD">
        <w:rPr>
          <w:rFonts w:ascii="Times New Roman" w:hAnsi="Times New Roman" w:cs="Times New Roman"/>
          <w:sz w:val="24"/>
          <w:szCs w:val="24"/>
          <w:lang w:val="ro-RO"/>
        </w:rPr>
        <w:t>tere a studiilor</w:t>
      </w:r>
      <w:r w:rsidR="00AF4EE9" w:rsidRPr="001900FD">
        <w:rPr>
          <w:rFonts w:ascii="Times New Roman" w:hAnsi="Times New Roman" w:cs="Times New Roman"/>
          <w:sz w:val="24"/>
          <w:szCs w:val="24"/>
          <w:lang w:val="ro-RO"/>
        </w:rPr>
        <w:t xml:space="preserve"> se </w:t>
      </w:r>
      <w:r w:rsidR="00AA6855">
        <w:rPr>
          <w:rFonts w:ascii="Times New Roman" w:hAnsi="Times New Roman" w:cs="Times New Roman"/>
          <w:sz w:val="24"/>
          <w:szCs w:val="24"/>
          <w:lang w:val="ro-RO"/>
        </w:rPr>
        <w:t>transmite către UPB şi î</w:t>
      </w:r>
      <w:r w:rsidR="00260BF9" w:rsidRPr="001900FD">
        <w:rPr>
          <w:rFonts w:ascii="Times New Roman" w:hAnsi="Times New Roman" w:cs="Times New Roman"/>
          <w:sz w:val="24"/>
          <w:szCs w:val="24"/>
          <w:lang w:val="ro-RO"/>
        </w:rPr>
        <w:t>n termen de 3 zile de la</w:t>
      </w:r>
      <w:r w:rsidR="00AA6855">
        <w:rPr>
          <w:rFonts w:ascii="Times New Roman" w:hAnsi="Times New Roman" w:cs="Times New Roman"/>
          <w:sz w:val="24"/>
          <w:szCs w:val="24"/>
          <w:lang w:val="ro-RO"/>
        </w:rPr>
        <w:t xml:space="preserve"> primirea acesteia se informează</w:t>
      </w:r>
      <w:r w:rsidR="00260BF9" w:rsidRPr="001900FD">
        <w:rPr>
          <w:rFonts w:ascii="Times New Roman" w:hAnsi="Times New Roman" w:cs="Times New Roman"/>
          <w:sz w:val="24"/>
          <w:szCs w:val="24"/>
          <w:lang w:val="ro-RO"/>
        </w:rPr>
        <w:t xml:space="preserve"> beneficiarul.</w:t>
      </w:r>
    </w:p>
    <w:p w:rsidR="000A67FE" w:rsidRPr="001900FD" w:rsidRDefault="007079DE" w:rsidP="000A67FE">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(3) </w:t>
      </w:r>
      <w:r w:rsidR="000A67FE" w:rsidRPr="001900FD">
        <w:rPr>
          <w:rFonts w:ascii="Times New Roman" w:hAnsi="Times New Roman" w:cs="Times New Roman"/>
          <w:sz w:val="24"/>
          <w:szCs w:val="24"/>
          <w:lang w:val="ro-RO"/>
        </w:rPr>
        <w:t xml:space="preserve">În cazul în care Ministerului Educatiei și Cercetarii constată că dosarul nu cuprinde toate documentele prevazute, înștiințează UPB, iar termenul de soluționare prevăzut </w:t>
      </w:r>
      <w:r w:rsidR="00204F6D" w:rsidRPr="001900FD">
        <w:rPr>
          <w:rFonts w:ascii="Times New Roman" w:hAnsi="Times New Roman" w:cs="Times New Roman"/>
          <w:sz w:val="24"/>
          <w:szCs w:val="24"/>
          <w:lang w:val="ro-RO"/>
        </w:rPr>
        <w:t>la Art.12</w:t>
      </w:r>
      <w:r w:rsidR="00527CE0" w:rsidRPr="001900FD">
        <w:rPr>
          <w:rFonts w:ascii="Times New Roman" w:hAnsi="Times New Roman" w:cs="Times New Roman"/>
          <w:sz w:val="24"/>
          <w:szCs w:val="24"/>
          <w:lang w:val="ro-RO"/>
        </w:rPr>
        <w:t xml:space="preserve">, </w:t>
      </w:r>
      <w:r w:rsidR="001900FD">
        <w:rPr>
          <w:rFonts w:ascii="Times New Roman" w:hAnsi="Times New Roman" w:cs="Times New Roman"/>
          <w:sz w:val="24"/>
          <w:szCs w:val="24"/>
          <w:lang w:val="ro-RO"/>
        </w:rPr>
        <w:t xml:space="preserve"> </w:t>
      </w:r>
      <w:r w:rsidR="00527CE0" w:rsidRPr="001900FD">
        <w:rPr>
          <w:rFonts w:ascii="Times New Roman" w:hAnsi="Times New Roman" w:cs="Times New Roman"/>
          <w:sz w:val="24"/>
          <w:szCs w:val="24"/>
          <w:lang w:val="ro-RO"/>
        </w:rPr>
        <w:t>alin</w:t>
      </w:r>
      <w:r w:rsidR="000802F1" w:rsidRPr="001900FD">
        <w:rPr>
          <w:rFonts w:ascii="Times New Roman" w:hAnsi="Times New Roman" w:cs="Times New Roman"/>
          <w:sz w:val="24"/>
          <w:szCs w:val="24"/>
          <w:lang w:val="ro-RO"/>
        </w:rPr>
        <w:t>.(</w:t>
      </w:r>
      <w:r w:rsidR="00527CE0" w:rsidRPr="001900FD">
        <w:rPr>
          <w:rFonts w:ascii="Times New Roman" w:hAnsi="Times New Roman" w:cs="Times New Roman"/>
          <w:sz w:val="24"/>
          <w:szCs w:val="24"/>
          <w:lang w:val="ro-RO"/>
        </w:rPr>
        <w:t>1</w:t>
      </w:r>
      <w:r w:rsidR="000802F1" w:rsidRPr="001900FD">
        <w:rPr>
          <w:rFonts w:ascii="Times New Roman" w:hAnsi="Times New Roman" w:cs="Times New Roman"/>
          <w:sz w:val="24"/>
          <w:szCs w:val="24"/>
          <w:lang w:val="ro-RO"/>
        </w:rPr>
        <w:t>)</w:t>
      </w:r>
      <w:r w:rsidR="00527CE0" w:rsidRPr="001900FD">
        <w:rPr>
          <w:rFonts w:ascii="Times New Roman" w:hAnsi="Times New Roman" w:cs="Times New Roman"/>
          <w:sz w:val="24"/>
          <w:szCs w:val="24"/>
          <w:lang w:val="ro-RO"/>
        </w:rPr>
        <w:t>,</w:t>
      </w:r>
      <w:r w:rsidR="00204F6D" w:rsidRPr="001900FD">
        <w:rPr>
          <w:rFonts w:ascii="Times New Roman" w:hAnsi="Times New Roman" w:cs="Times New Roman"/>
          <w:sz w:val="24"/>
          <w:szCs w:val="24"/>
          <w:lang w:val="ro-RO"/>
        </w:rPr>
        <w:t xml:space="preserve"> va reîncepe s</w:t>
      </w:r>
      <w:r w:rsidR="00FA2797" w:rsidRPr="001900FD">
        <w:rPr>
          <w:rFonts w:ascii="Times New Roman" w:hAnsi="Times New Roman" w:cs="Times New Roman"/>
          <w:sz w:val="24"/>
          <w:szCs w:val="24"/>
          <w:lang w:val="ro-RO"/>
        </w:rPr>
        <w:t>ă</w:t>
      </w:r>
      <w:r w:rsidR="00204F6D" w:rsidRPr="001900FD">
        <w:rPr>
          <w:rFonts w:ascii="Times New Roman" w:hAnsi="Times New Roman" w:cs="Times New Roman"/>
          <w:sz w:val="24"/>
          <w:szCs w:val="24"/>
          <w:lang w:val="ro-RO"/>
        </w:rPr>
        <w:t xml:space="preserve"> curgă de la data la care dosarul incomplet este retr</w:t>
      </w:r>
      <w:r w:rsidR="00FA2797" w:rsidRPr="001900FD">
        <w:rPr>
          <w:rFonts w:ascii="Times New Roman" w:hAnsi="Times New Roman" w:cs="Times New Roman"/>
          <w:sz w:val="24"/>
          <w:szCs w:val="24"/>
          <w:lang w:val="ro-RO"/>
        </w:rPr>
        <w:t>ansmis</w:t>
      </w:r>
      <w:r w:rsidR="000A67FE" w:rsidRPr="001900FD">
        <w:rPr>
          <w:rFonts w:ascii="Times New Roman" w:hAnsi="Times New Roman" w:cs="Times New Roman"/>
          <w:sz w:val="24"/>
          <w:szCs w:val="24"/>
          <w:lang w:val="ro-RO"/>
        </w:rPr>
        <w:t xml:space="preserve">. </w:t>
      </w:r>
    </w:p>
    <w:p w:rsidR="00904678" w:rsidRPr="001900FD" w:rsidRDefault="00904678" w:rsidP="00610CAE">
      <w:pPr>
        <w:rPr>
          <w:lang w:val="ro-RO"/>
        </w:rPr>
      </w:pPr>
    </w:p>
    <w:p w:rsidR="00904678" w:rsidRPr="001900FD" w:rsidRDefault="00904678" w:rsidP="00610CAE">
      <w:pPr>
        <w:rPr>
          <w:rFonts w:ascii="Times New Roman" w:hAnsi="Times New Roman" w:cs="Times New Roman"/>
          <w:lang w:val="ro-RO"/>
        </w:rPr>
      </w:pPr>
    </w:p>
    <w:p w:rsidR="00904678" w:rsidRPr="001900FD" w:rsidRDefault="00904678" w:rsidP="00904678">
      <w:pPr>
        <w:ind w:firstLine="720"/>
        <w:jc w:val="center"/>
        <w:rPr>
          <w:rFonts w:ascii="Times New Roman" w:hAnsi="Times New Roman" w:cs="Times New Roman"/>
          <w:b/>
          <w:sz w:val="28"/>
          <w:szCs w:val="28"/>
          <w:lang w:val="ro-RO"/>
        </w:rPr>
      </w:pPr>
      <w:r w:rsidRPr="001900FD">
        <w:rPr>
          <w:rFonts w:ascii="Times New Roman" w:hAnsi="Times New Roman" w:cs="Times New Roman"/>
          <w:b/>
          <w:sz w:val="28"/>
          <w:szCs w:val="28"/>
          <w:lang w:val="ro-RO"/>
        </w:rPr>
        <w:t>I</w:t>
      </w:r>
      <w:r w:rsidR="0074204C" w:rsidRPr="001900FD">
        <w:rPr>
          <w:rFonts w:ascii="Times New Roman" w:hAnsi="Times New Roman" w:cs="Times New Roman"/>
          <w:b/>
          <w:sz w:val="28"/>
          <w:szCs w:val="28"/>
          <w:lang w:val="ro-RO"/>
        </w:rPr>
        <w:t>V</w:t>
      </w:r>
      <w:r w:rsidRPr="001900FD">
        <w:rPr>
          <w:rFonts w:ascii="Times New Roman" w:hAnsi="Times New Roman" w:cs="Times New Roman"/>
          <w:b/>
          <w:sz w:val="28"/>
          <w:szCs w:val="28"/>
          <w:lang w:val="ro-RO"/>
        </w:rPr>
        <w:t>. RECUNOAŞTEREA PERIOADELOR DE STUDII SAU DE PLASAMENT EFECTUATE ÎN CADRUL MOBILITĂŢILOR ERASMUS</w:t>
      </w:r>
    </w:p>
    <w:p w:rsidR="00904678" w:rsidRPr="001900FD" w:rsidRDefault="00904678" w:rsidP="00904678">
      <w:pPr>
        <w:ind w:firstLine="720"/>
        <w:jc w:val="both"/>
        <w:rPr>
          <w:rFonts w:ascii="Times New Roman" w:hAnsi="Times New Roman" w:cs="Times New Roman"/>
          <w:lang w:val="ro-RO"/>
        </w:rPr>
      </w:pPr>
    </w:p>
    <w:p w:rsidR="00FD459B" w:rsidRPr="001900FD" w:rsidRDefault="00904678" w:rsidP="00904678">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Art. 2</w:t>
      </w:r>
      <w:r w:rsidR="00694537" w:rsidRPr="001900FD">
        <w:rPr>
          <w:rFonts w:ascii="Times New Roman" w:hAnsi="Times New Roman" w:cs="Times New Roman"/>
          <w:b/>
          <w:sz w:val="24"/>
          <w:szCs w:val="24"/>
          <w:lang w:val="ro-RO"/>
        </w:rPr>
        <w:t>6</w:t>
      </w:r>
      <w:r w:rsidRPr="001900FD">
        <w:rPr>
          <w:rFonts w:ascii="Times New Roman" w:hAnsi="Times New Roman" w:cs="Times New Roman"/>
          <w:sz w:val="24"/>
          <w:szCs w:val="24"/>
          <w:lang w:val="ro-RO"/>
        </w:rPr>
        <w:t xml:space="preserve">. </w:t>
      </w:r>
    </w:p>
    <w:p w:rsidR="00904678" w:rsidRPr="001900FD" w:rsidRDefault="00904678" w:rsidP="00904678">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In cadrul fiecărui facultăţi se vor constitui Comisii de Recunoaştere </w:t>
      </w:r>
      <w:r w:rsidR="003F06F4" w:rsidRPr="001900FD">
        <w:rPr>
          <w:rFonts w:ascii="Times New Roman" w:hAnsi="Times New Roman" w:cs="Times New Roman"/>
          <w:sz w:val="24"/>
          <w:szCs w:val="24"/>
          <w:lang w:val="ro-RO"/>
        </w:rPr>
        <w:t xml:space="preserve">Academică </w:t>
      </w:r>
      <w:r w:rsidRPr="001900FD">
        <w:rPr>
          <w:rFonts w:ascii="Times New Roman" w:hAnsi="Times New Roman" w:cs="Times New Roman"/>
          <w:sz w:val="24"/>
          <w:szCs w:val="24"/>
          <w:lang w:val="ro-RO"/>
        </w:rPr>
        <w:t>şi Comisii de contestaţii pentru fiecare domeniu de studii, care vor avea drept obiect de activitate recunoaşterea perioadelor de studii sau de plasament efectuate în cadrul mobilităţilor ERASMUS</w:t>
      </w:r>
      <w:r w:rsidR="0074204C" w:rsidRPr="001900FD">
        <w:rPr>
          <w:rFonts w:ascii="Times New Roman" w:hAnsi="Times New Roman" w:cs="Times New Roman"/>
          <w:sz w:val="24"/>
          <w:szCs w:val="24"/>
          <w:lang w:val="ro-RO"/>
        </w:rPr>
        <w:t>+</w:t>
      </w:r>
      <w:r w:rsidRPr="001900FD">
        <w:rPr>
          <w:rFonts w:ascii="Times New Roman" w:hAnsi="Times New Roman" w:cs="Times New Roman"/>
          <w:sz w:val="24"/>
          <w:szCs w:val="24"/>
          <w:lang w:val="ro-RO"/>
        </w:rPr>
        <w:t>.</w:t>
      </w:r>
    </w:p>
    <w:p w:rsidR="00904678" w:rsidRPr="001900FD" w:rsidRDefault="00904678" w:rsidP="00FD459B">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(2) Componenţa Comisiilor de Recunoaştere </w:t>
      </w:r>
      <w:r w:rsidR="003F06F4" w:rsidRPr="001900FD">
        <w:rPr>
          <w:rFonts w:ascii="Times New Roman" w:hAnsi="Times New Roman" w:cs="Times New Roman"/>
          <w:sz w:val="24"/>
          <w:szCs w:val="24"/>
          <w:lang w:val="ro-RO"/>
        </w:rPr>
        <w:t xml:space="preserve">Academică </w:t>
      </w:r>
      <w:r w:rsidRPr="001900FD">
        <w:rPr>
          <w:rFonts w:ascii="Times New Roman" w:hAnsi="Times New Roman" w:cs="Times New Roman"/>
          <w:sz w:val="24"/>
          <w:szCs w:val="24"/>
          <w:lang w:val="ro-RO"/>
        </w:rPr>
        <w:t>şi a Comisiilor de contestaţii este propusă de către Decan şi aprobată pentru fiecare domeniu de studii de către Consiliul facultăţii, la începutul fiecărui an universitar. Numirea membrilor comisiilor se face prin Decizia decanului.</w:t>
      </w:r>
    </w:p>
    <w:p w:rsidR="00904678" w:rsidRPr="001900FD" w:rsidRDefault="00904678" w:rsidP="00FD459B">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(3) Comisiile de Recunoaştere</w:t>
      </w:r>
      <w:r w:rsidR="003F06F4" w:rsidRPr="001900FD">
        <w:rPr>
          <w:rFonts w:ascii="Times New Roman" w:hAnsi="Times New Roman" w:cs="Times New Roman"/>
          <w:sz w:val="24"/>
          <w:szCs w:val="24"/>
          <w:lang w:val="ro-RO"/>
        </w:rPr>
        <w:t xml:space="preserve"> Academică</w:t>
      </w:r>
      <w:r w:rsidRPr="001900FD">
        <w:rPr>
          <w:rFonts w:ascii="Times New Roman" w:hAnsi="Times New Roman" w:cs="Times New Roman"/>
          <w:sz w:val="24"/>
          <w:szCs w:val="24"/>
          <w:lang w:val="ro-RO"/>
        </w:rPr>
        <w:t>, numite la nivelul facultăţii sunt formate din 3 (trei) cadre didactice cu experienţă care predau la domeniul de studii respectiv.</w:t>
      </w:r>
    </w:p>
    <w:p w:rsidR="00904678" w:rsidRPr="001900FD" w:rsidRDefault="00904678" w:rsidP="00FD459B">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(4) Comisiile de contestaţii sunt formate din 3 (trei) cadre didactice care predau la domeniul de studii respectiv, dar care nu pot fi în acelaşi timp membrii ai Comisiilor de Recunoaştere</w:t>
      </w:r>
      <w:r w:rsidR="003F06F4" w:rsidRPr="001900FD">
        <w:rPr>
          <w:rFonts w:ascii="Times New Roman" w:hAnsi="Times New Roman" w:cs="Times New Roman"/>
          <w:sz w:val="24"/>
          <w:szCs w:val="24"/>
          <w:lang w:val="ro-RO"/>
        </w:rPr>
        <w:t xml:space="preserve"> Academică</w:t>
      </w:r>
      <w:r w:rsidRPr="001900FD">
        <w:rPr>
          <w:rFonts w:ascii="Times New Roman" w:hAnsi="Times New Roman" w:cs="Times New Roman"/>
          <w:sz w:val="24"/>
          <w:szCs w:val="24"/>
          <w:lang w:val="ro-RO"/>
        </w:rPr>
        <w:t>.</w:t>
      </w:r>
    </w:p>
    <w:p w:rsidR="00904678" w:rsidRPr="001900FD" w:rsidRDefault="00904678" w:rsidP="00FD459B">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(5) Hotărârile în Comisiile de Recunoaştere</w:t>
      </w:r>
      <w:r w:rsidR="003F06F4" w:rsidRPr="001900FD">
        <w:rPr>
          <w:rFonts w:ascii="Times New Roman" w:hAnsi="Times New Roman" w:cs="Times New Roman"/>
          <w:sz w:val="24"/>
          <w:szCs w:val="24"/>
          <w:lang w:val="ro-RO"/>
        </w:rPr>
        <w:t xml:space="preserve"> Academică</w:t>
      </w:r>
      <w:r w:rsidRPr="001900FD">
        <w:rPr>
          <w:rFonts w:ascii="Times New Roman" w:hAnsi="Times New Roman" w:cs="Times New Roman"/>
          <w:sz w:val="24"/>
          <w:szCs w:val="24"/>
          <w:lang w:val="ro-RO"/>
        </w:rPr>
        <w:t>, precum şi în Comisiile de contestaţii se iau cu majoritate de voturi.</w:t>
      </w:r>
    </w:p>
    <w:p w:rsidR="00904678" w:rsidRPr="001900FD" w:rsidRDefault="00904678" w:rsidP="00980882">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eastAsia="ro-RO"/>
        </w:rPr>
        <w:t xml:space="preserve">(6) La începutul fiecărui an universitar, Decanul facultăţii va decide cui </w:t>
      </w:r>
      <w:r w:rsidR="001900FD">
        <w:rPr>
          <w:rFonts w:ascii="Times New Roman" w:hAnsi="Times New Roman" w:cs="Times New Roman"/>
          <w:sz w:val="24"/>
          <w:szCs w:val="24"/>
          <w:lang w:val="ro-RO" w:eastAsia="ro-RO"/>
        </w:rPr>
        <w:t xml:space="preserve">îi </w:t>
      </w:r>
      <w:r w:rsidRPr="001900FD">
        <w:rPr>
          <w:rFonts w:ascii="Times New Roman" w:hAnsi="Times New Roman" w:cs="Times New Roman"/>
          <w:sz w:val="24"/>
          <w:szCs w:val="24"/>
          <w:lang w:val="ro-RO" w:eastAsia="ro-RO"/>
        </w:rPr>
        <w:t>revine responsabilitatea trecerii notelor în catalogul de note: prodecanului însărcinat cu relaţiile internaţionale</w:t>
      </w:r>
      <w:r w:rsidR="003F1244" w:rsidRPr="001900FD">
        <w:rPr>
          <w:rFonts w:ascii="Times New Roman" w:hAnsi="Times New Roman" w:cs="Times New Roman"/>
          <w:sz w:val="24"/>
          <w:szCs w:val="24"/>
          <w:lang w:val="ro-RO" w:eastAsia="ro-RO"/>
        </w:rPr>
        <w:t xml:space="preserve">, </w:t>
      </w:r>
      <w:r w:rsidR="00892002" w:rsidRPr="001900FD">
        <w:rPr>
          <w:rFonts w:ascii="Times New Roman" w:hAnsi="Times New Roman" w:cs="Times New Roman"/>
          <w:sz w:val="24"/>
          <w:szCs w:val="24"/>
          <w:lang w:val="ro-RO" w:eastAsia="ro-RO"/>
        </w:rPr>
        <w:t xml:space="preserve">sau </w:t>
      </w:r>
      <w:r w:rsidRPr="001900FD">
        <w:rPr>
          <w:rFonts w:ascii="Times New Roman" w:hAnsi="Times New Roman" w:cs="Times New Roman"/>
          <w:sz w:val="24"/>
          <w:szCs w:val="24"/>
          <w:lang w:val="ro-RO" w:eastAsia="ro-RO"/>
        </w:rPr>
        <w:t>coordonatorului ERASMUS la nivel de facultate</w:t>
      </w:r>
      <w:r w:rsidR="00980882" w:rsidRPr="001900FD">
        <w:rPr>
          <w:rFonts w:ascii="Times New Roman" w:hAnsi="Times New Roman" w:cs="Times New Roman"/>
          <w:sz w:val="24"/>
          <w:szCs w:val="24"/>
          <w:lang w:val="ro-RO" w:eastAsia="ro-RO"/>
        </w:rPr>
        <w:t xml:space="preserve">, sau unuia dintre membrii </w:t>
      </w:r>
      <w:r w:rsidR="00980882" w:rsidRPr="001900FD">
        <w:rPr>
          <w:rFonts w:ascii="Times New Roman" w:hAnsi="Times New Roman" w:cs="Times New Roman"/>
          <w:sz w:val="24"/>
          <w:szCs w:val="24"/>
          <w:lang w:val="ro-RO"/>
        </w:rPr>
        <w:lastRenderedPageBreak/>
        <w:t xml:space="preserve">Comisiei de Recunoaştere Academică. </w:t>
      </w:r>
      <w:r w:rsidRPr="001900FD">
        <w:rPr>
          <w:rFonts w:ascii="Times New Roman" w:hAnsi="Times New Roman" w:cs="Times New Roman"/>
          <w:sz w:val="24"/>
          <w:szCs w:val="24"/>
          <w:lang w:val="ro-RO" w:eastAsia="ro-RO"/>
        </w:rPr>
        <w:t>Această persoană înregistrează şi semnează în catalogul de note rezultatele obţinute de studentul ERASMUS în urma recunoaşterii perioadei de studii/ plasament.</w:t>
      </w:r>
    </w:p>
    <w:p w:rsidR="00904678" w:rsidRPr="001900FD" w:rsidRDefault="00904678" w:rsidP="00904678">
      <w:pPr>
        <w:adjustRightInd w:val="0"/>
        <w:ind w:firstLine="720"/>
        <w:jc w:val="both"/>
        <w:rPr>
          <w:rFonts w:ascii="Times New Roman" w:hAnsi="Times New Roman" w:cs="Times New Roman"/>
          <w:b/>
          <w:sz w:val="24"/>
          <w:szCs w:val="24"/>
          <w:lang w:val="ro-RO"/>
        </w:rPr>
      </w:pPr>
    </w:p>
    <w:p w:rsidR="00FD459B" w:rsidRPr="001900FD" w:rsidRDefault="00904678" w:rsidP="00904678">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Art. 2</w:t>
      </w:r>
      <w:r w:rsidR="00694537" w:rsidRPr="001900FD">
        <w:rPr>
          <w:rFonts w:ascii="Times New Roman" w:hAnsi="Times New Roman" w:cs="Times New Roman"/>
          <w:b/>
          <w:sz w:val="24"/>
          <w:szCs w:val="24"/>
          <w:lang w:val="ro-RO"/>
        </w:rPr>
        <w:t>7</w:t>
      </w:r>
      <w:r w:rsidRPr="001900FD">
        <w:rPr>
          <w:rFonts w:ascii="Times New Roman" w:hAnsi="Times New Roman" w:cs="Times New Roman"/>
          <w:sz w:val="24"/>
          <w:szCs w:val="24"/>
          <w:lang w:val="ro-RO"/>
        </w:rPr>
        <w:t xml:space="preserve">. </w:t>
      </w:r>
    </w:p>
    <w:p w:rsidR="003F1244" w:rsidRPr="001900FD" w:rsidRDefault="00904678" w:rsidP="00904678">
      <w:pPr>
        <w:jc w:val="both"/>
        <w:rPr>
          <w:rFonts w:ascii="Times New Roman" w:hAnsi="Times New Roman" w:cs="Times New Roman"/>
          <w:color w:val="FF0000"/>
          <w:sz w:val="24"/>
          <w:szCs w:val="24"/>
          <w:lang w:val="ro-RO"/>
        </w:rPr>
      </w:pPr>
      <w:r w:rsidRPr="001900FD">
        <w:rPr>
          <w:rFonts w:ascii="Times New Roman" w:hAnsi="Times New Roman" w:cs="Times New Roman"/>
          <w:sz w:val="24"/>
          <w:szCs w:val="24"/>
          <w:lang w:val="ro-RO"/>
        </w:rPr>
        <w:t xml:space="preserve">(1) Inainte de efectuarea stagiului, Comisia de Recunoaştere </w:t>
      </w:r>
      <w:r w:rsidR="003F06F4" w:rsidRPr="001900FD">
        <w:rPr>
          <w:rFonts w:ascii="Times New Roman" w:hAnsi="Times New Roman" w:cs="Times New Roman"/>
          <w:sz w:val="24"/>
          <w:szCs w:val="24"/>
          <w:lang w:val="ro-RO"/>
        </w:rPr>
        <w:t xml:space="preserve">Academică </w:t>
      </w:r>
      <w:r w:rsidRPr="001900FD">
        <w:rPr>
          <w:rFonts w:ascii="Times New Roman" w:hAnsi="Times New Roman" w:cs="Times New Roman"/>
          <w:sz w:val="24"/>
          <w:szCs w:val="24"/>
          <w:lang w:val="ro-RO"/>
        </w:rPr>
        <w:t>are sarcina de a analiza parcursul educaţional (disciplinele) menţionat în Acordul de studii/formare profesională.</w:t>
      </w:r>
      <w:r w:rsidR="0006114A">
        <w:rPr>
          <w:rFonts w:ascii="Times New Roman" w:hAnsi="Times New Roman" w:cs="Times New Roman"/>
          <w:sz w:val="24"/>
          <w:szCs w:val="24"/>
          <w:lang w:val="ro-RO"/>
        </w:rPr>
        <w:t xml:space="preserve"> </w:t>
      </w:r>
      <w:r w:rsidR="002F7092" w:rsidRPr="001900FD">
        <w:rPr>
          <w:rFonts w:ascii="Times New Roman" w:hAnsi="Times New Roman" w:cs="Times New Roman"/>
          <w:sz w:val="24"/>
          <w:szCs w:val="24"/>
          <w:lang w:val="ro-RO"/>
        </w:rPr>
        <w:t>Î</w:t>
      </w:r>
      <w:r w:rsidRPr="001900FD">
        <w:rPr>
          <w:rFonts w:ascii="Times New Roman" w:hAnsi="Times New Roman" w:cs="Times New Roman"/>
          <w:sz w:val="24"/>
          <w:szCs w:val="24"/>
          <w:lang w:val="ro-RO"/>
        </w:rPr>
        <w:t xml:space="preserve">n urma analizei comisia </w:t>
      </w:r>
      <w:r w:rsidR="003F1244" w:rsidRPr="001900FD">
        <w:rPr>
          <w:rFonts w:ascii="Times New Roman" w:hAnsi="Times New Roman" w:cs="Times New Roman"/>
          <w:sz w:val="24"/>
          <w:szCs w:val="24"/>
          <w:lang w:val="ro-RO"/>
        </w:rPr>
        <w:t>aprob</w:t>
      </w:r>
      <w:r w:rsidR="002F7092" w:rsidRPr="001900FD">
        <w:rPr>
          <w:rFonts w:ascii="Times New Roman" w:hAnsi="Times New Roman" w:cs="Times New Roman"/>
          <w:sz w:val="24"/>
          <w:szCs w:val="24"/>
          <w:lang w:val="ro-RO"/>
        </w:rPr>
        <w:t>ă</w:t>
      </w:r>
      <w:r w:rsidR="003F1244" w:rsidRPr="001900FD">
        <w:rPr>
          <w:rFonts w:ascii="Times New Roman" w:hAnsi="Times New Roman" w:cs="Times New Roman"/>
          <w:sz w:val="24"/>
          <w:szCs w:val="24"/>
          <w:lang w:val="ro-RO"/>
        </w:rPr>
        <w:t xml:space="preserve"> sau nu </w:t>
      </w:r>
      <w:r w:rsidR="009D6F42" w:rsidRPr="001900FD">
        <w:rPr>
          <w:rFonts w:ascii="Times New Roman" w:hAnsi="Times New Roman" w:cs="Times New Roman"/>
          <w:sz w:val="24"/>
          <w:szCs w:val="24"/>
          <w:lang w:val="ro-RO"/>
        </w:rPr>
        <w:t>A</w:t>
      </w:r>
      <w:r w:rsidR="003F1244" w:rsidRPr="001900FD">
        <w:rPr>
          <w:rFonts w:ascii="Times New Roman" w:hAnsi="Times New Roman" w:cs="Times New Roman"/>
          <w:sz w:val="24"/>
          <w:szCs w:val="24"/>
          <w:lang w:val="ro-RO"/>
        </w:rPr>
        <w:t>cordul de studiu/formare profesionala, document care va fi semnat de coordonatorul ERASMUS la nivel de facultate.</w:t>
      </w:r>
    </w:p>
    <w:p w:rsidR="00904678" w:rsidRPr="001900FD" w:rsidRDefault="00904678" w:rsidP="00FD459B">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(2) Aprobarea Acordului de studii/formare profesională se va baza pe competenţele dobândite de către student şi nu pe denumirea disciplinelor. Se va avea în vedere că, competenţele dobândite pe perioada stagiului să fie în concordanţă cu competenţele aferente programului de studii pe care studentul îl urmează la facultatea de origine.</w:t>
      </w:r>
    </w:p>
    <w:p w:rsidR="00904678" w:rsidRPr="001900FD" w:rsidRDefault="00904678" w:rsidP="00FD459B">
      <w:pPr>
        <w:jc w:val="both"/>
        <w:rPr>
          <w:rFonts w:ascii="Times New Roman" w:hAnsi="Times New Roman" w:cs="Times New Roman"/>
          <w:b/>
          <w:sz w:val="24"/>
          <w:szCs w:val="24"/>
          <w:lang w:val="ro-RO"/>
        </w:rPr>
      </w:pPr>
      <w:r w:rsidRPr="001900FD">
        <w:rPr>
          <w:rFonts w:ascii="Times New Roman" w:hAnsi="Times New Roman" w:cs="Times New Roman"/>
          <w:sz w:val="24"/>
          <w:szCs w:val="24"/>
          <w:lang w:val="ro-RO"/>
        </w:rPr>
        <w:t xml:space="preserve">(3) Orice modificare în Acordul de studii/formare profesională efectuată pe parcursul stagiului trebuie aprobată în prealabil de către Comisia de Recunoaştere </w:t>
      </w:r>
      <w:r w:rsidR="003F06F4" w:rsidRPr="001900FD">
        <w:rPr>
          <w:rFonts w:ascii="Times New Roman" w:hAnsi="Times New Roman" w:cs="Times New Roman"/>
          <w:sz w:val="24"/>
          <w:szCs w:val="24"/>
          <w:lang w:val="ro-RO"/>
        </w:rPr>
        <w:t xml:space="preserve">Academică </w:t>
      </w:r>
      <w:r w:rsidRPr="001900FD">
        <w:rPr>
          <w:rFonts w:ascii="Times New Roman" w:hAnsi="Times New Roman" w:cs="Times New Roman"/>
          <w:sz w:val="24"/>
          <w:szCs w:val="24"/>
          <w:lang w:val="ro-RO"/>
        </w:rPr>
        <w:t>pe baza procedurilor descrise la alin. (1) şi (2) ale prezentului articol.</w:t>
      </w:r>
    </w:p>
    <w:p w:rsidR="00904678" w:rsidRPr="001900FD" w:rsidRDefault="00904678" w:rsidP="00904678">
      <w:pPr>
        <w:ind w:firstLine="720"/>
        <w:jc w:val="both"/>
        <w:rPr>
          <w:rFonts w:ascii="Times New Roman" w:hAnsi="Times New Roman" w:cs="Times New Roman"/>
          <w:b/>
          <w:sz w:val="24"/>
          <w:szCs w:val="24"/>
          <w:lang w:val="ro-RO"/>
        </w:rPr>
      </w:pPr>
    </w:p>
    <w:p w:rsidR="00FD459B" w:rsidRPr="001900FD" w:rsidRDefault="00904678" w:rsidP="00FD459B">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Art. 2</w:t>
      </w:r>
      <w:r w:rsidR="00694537" w:rsidRPr="001900FD">
        <w:rPr>
          <w:rFonts w:ascii="Times New Roman" w:hAnsi="Times New Roman" w:cs="Times New Roman"/>
          <w:b/>
          <w:sz w:val="24"/>
          <w:szCs w:val="24"/>
          <w:lang w:val="ro-RO"/>
        </w:rPr>
        <w:t>8</w:t>
      </w:r>
      <w:r w:rsidRPr="001900FD">
        <w:rPr>
          <w:rFonts w:ascii="Times New Roman" w:hAnsi="Times New Roman" w:cs="Times New Roman"/>
          <w:sz w:val="24"/>
          <w:szCs w:val="24"/>
          <w:lang w:val="ro-RO"/>
        </w:rPr>
        <w:t xml:space="preserve">. </w:t>
      </w:r>
    </w:p>
    <w:p w:rsidR="00FD459B" w:rsidRPr="001900FD" w:rsidRDefault="00904678" w:rsidP="00FD459B">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(1) La sfârşitul perioadei de mobilitate în străinătate, instituţia gazdă trebuie să ofere beneficiarului mobilităţii ERASMUS şi UPB un certificat care să confirme îndeplinirea mobilităţii şi un extras din foaia matricolă (Transcript of Records) sau o evaluare (Transcript of Work) care să ateste rezultatele obţinute.</w:t>
      </w:r>
    </w:p>
    <w:p w:rsidR="00904678" w:rsidRPr="001900FD" w:rsidRDefault="00904678" w:rsidP="00FD459B">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(2) In termen de 5 zile de la intoarcerea in ţară, studentul depune la secretariatul facultăţii deorigine, următoarele documente:</w:t>
      </w:r>
    </w:p>
    <w:p w:rsidR="0074204C" w:rsidRPr="0006114A" w:rsidRDefault="00904678" w:rsidP="00892002">
      <w:pPr>
        <w:widowControl/>
        <w:numPr>
          <w:ilvl w:val="0"/>
          <w:numId w:val="36"/>
        </w:numPr>
        <w:adjustRightInd w:val="0"/>
        <w:ind w:left="709" w:hanging="283"/>
        <w:jc w:val="both"/>
        <w:rPr>
          <w:rFonts w:ascii="Times New Roman" w:hAnsi="Times New Roman" w:cs="Times New Roman"/>
          <w:iCs/>
          <w:sz w:val="24"/>
          <w:szCs w:val="24"/>
          <w:lang w:val="ro-RO"/>
        </w:rPr>
      </w:pPr>
      <w:r w:rsidRPr="0006114A">
        <w:rPr>
          <w:rFonts w:ascii="Times New Roman" w:hAnsi="Times New Roman" w:cs="Times New Roman"/>
          <w:sz w:val="24"/>
          <w:szCs w:val="24"/>
          <w:lang w:val="ro-RO"/>
        </w:rPr>
        <w:t>originalul documentuluiTranscript of Records/Transcript of Work</w:t>
      </w:r>
      <w:r w:rsidR="00E80E1D" w:rsidRPr="0006114A">
        <w:rPr>
          <w:rFonts w:ascii="Times New Roman" w:hAnsi="Times New Roman" w:cs="Times New Roman"/>
          <w:sz w:val="24"/>
          <w:szCs w:val="24"/>
          <w:lang w:val="ro-RO"/>
        </w:rPr>
        <w:t>;</w:t>
      </w:r>
    </w:p>
    <w:p w:rsidR="00904678" w:rsidRPr="001900FD" w:rsidRDefault="00904678" w:rsidP="00FD459B">
      <w:pPr>
        <w:widowControl/>
        <w:numPr>
          <w:ilvl w:val="0"/>
          <w:numId w:val="36"/>
        </w:numPr>
        <w:adjustRightInd w:val="0"/>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copie a certificatului eliberat de instituţia gazdă care confirmă îndeplinirea mobilităţii;</w:t>
      </w:r>
    </w:p>
    <w:p w:rsidR="00904678" w:rsidRPr="001900FD" w:rsidRDefault="00904678" w:rsidP="00FD459B">
      <w:pPr>
        <w:widowControl/>
        <w:numPr>
          <w:ilvl w:val="0"/>
          <w:numId w:val="36"/>
        </w:numPr>
        <w:adjustRightInd w:val="0"/>
        <w:ind w:left="709" w:hanging="283"/>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copie după Acordul de studii/formare profesională (inclusiv modificările pe parcurs).</w:t>
      </w:r>
    </w:p>
    <w:p w:rsidR="00904678" w:rsidRPr="001900FD" w:rsidRDefault="00904678" w:rsidP="00904678">
      <w:pPr>
        <w:ind w:firstLine="720"/>
        <w:jc w:val="both"/>
        <w:rPr>
          <w:rFonts w:ascii="Times New Roman" w:hAnsi="Times New Roman" w:cs="Times New Roman"/>
          <w:b/>
          <w:sz w:val="24"/>
          <w:szCs w:val="24"/>
          <w:lang w:val="ro-RO"/>
        </w:rPr>
      </w:pPr>
    </w:p>
    <w:p w:rsidR="00260BF9" w:rsidRPr="001900FD" w:rsidRDefault="00904678" w:rsidP="00904678">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 xml:space="preserve">Art. </w:t>
      </w:r>
      <w:r w:rsidR="00694537" w:rsidRPr="001900FD">
        <w:rPr>
          <w:rFonts w:ascii="Times New Roman" w:hAnsi="Times New Roman" w:cs="Times New Roman"/>
          <w:b/>
          <w:sz w:val="24"/>
          <w:szCs w:val="24"/>
          <w:lang w:val="ro-RO"/>
        </w:rPr>
        <w:t>29</w:t>
      </w:r>
      <w:r w:rsidRPr="001900FD">
        <w:rPr>
          <w:rFonts w:ascii="Times New Roman" w:hAnsi="Times New Roman" w:cs="Times New Roman"/>
          <w:sz w:val="24"/>
          <w:szCs w:val="24"/>
          <w:lang w:val="ro-RO"/>
        </w:rPr>
        <w:t xml:space="preserve">. </w:t>
      </w:r>
    </w:p>
    <w:p w:rsidR="00904678" w:rsidRPr="001900FD" w:rsidRDefault="00904678" w:rsidP="00904678">
      <w:pPr>
        <w:jc w:val="both"/>
        <w:rPr>
          <w:rFonts w:ascii="Times New Roman" w:hAnsi="Times New Roman" w:cs="Times New Roman"/>
          <w:b/>
          <w:sz w:val="24"/>
          <w:szCs w:val="24"/>
          <w:lang w:val="ro-RO"/>
        </w:rPr>
      </w:pPr>
      <w:r w:rsidRPr="001900FD">
        <w:rPr>
          <w:rFonts w:ascii="Times New Roman" w:hAnsi="Times New Roman" w:cs="Times New Roman"/>
          <w:sz w:val="24"/>
          <w:szCs w:val="24"/>
          <w:lang w:val="ro-RO"/>
        </w:rPr>
        <w:t>In urma analizei documentelor menţionate la Art. 2</w:t>
      </w:r>
      <w:r w:rsidR="00694537" w:rsidRPr="001900FD">
        <w:rPr>
          <w:rFonts w:ascii="Times New Roman" w:hAnsi="Times New Roman" w:cs="Times New Roman"/>
          <w:sz w:val="24"/>
          <w:szCs w:val="24"/>
          <w:lang w:val="ro-RO"/>
        </w:rPr>
        <w:t>8</w:t>
      </w:r>
      <w:r w:rsidR="00527CE0" w:rsidRPr="001900FD">
        <w:rPr>
          <w:rFonts w:ascii="Times New Roman" w:hAnsi="Times New Roman" w:cs="Times New Roman"/>
          <w:sz w:val="24"/>
          <w:szCs w:val="24"/>
          <w:lang w:val="ro-RO"/>
        </w:rPr>
        <w:t xml:space="preserve">, alin </w:t>
      </w:r>
      <w:r w:rsidR="000802F1" w:rsidRPr="001900FD">
        <w:rPr>
          <w:rFonts w:ascii="Times New Roman" w:hAnsi="Times New Roman" w:cs="Times New Roman"/>
          <w:sz w:val="24"/>
          <w:szCs w:val="24"/>
          <w:lang w:val="ro-RO"/>
        </w:rPr>
        <w:t>(</w:t>
      </w:r>
      <w:r w:rsidR="00527CE0" w:rsidRPr="001900FD">
        <w:rPr>
          <w:rFonts w:ascii="Times New Roman" w:hAnsi="Times New Roman" w:cs="Times New Roman"/>
          <w:sz w:val="24"/>
          <w:szCs w:val="24"/>
          <w:lang w:val="ro-RO"/>
        </w:rPr>
        <w:t>2</w:t>
      </w:r>
      <w:r w:rsidR="000802F1" w:rsidRPr="001900FD">
        <w:rPr>
          <w:rFonts w:ascii="Times New Roman" w:hAnsi="Times New Roman" w:cs="Times New Roman"/>
          <w:sz w:val="24"/>
          <w:szCs w:val="24"/>
          <w:lang w:val="ro-RO"/>
        </w:rPr>
        <w:t>)</w:t>
      </w:r>
      <w:r w:rsidRPr="001900FD">
        <w:rPr>
          <w:rFonts w:ascii="Times New Roman" w:hAnsi="Times New Roman" w:cs="Times New Roman"/>
          <w:sz w:val="24"/>
          <w:szCs w:val="24"/>
          <w:lang w:val="ro-RO"/>
        </w:rPr>
        <w:t xml:space="preserve">, Comisia de Recunoaştere </w:t>
      </w:r>
      <w:r w:rsidR="003F06F4" w:rsidRPr="001900FD">
        <w:rPr>
          <w:rFonts w:ascii="Times New Roman" w:hAnsi="Times New Roman" w:cs="Times New Roman"/>
          <w:sz w:val="24"/>
          <w:szCs w:val="24"/>
          <w:lang w:val="ro-RO"/>
        </w:rPr>
        <w:t xml:space="preserve">Academică </w:t>
      </w:r>
      <w:r w:rsidRPr="001900FD">
        <w:rPr>
          <w:rFonts w:ascii="Times New Roman" w:hAnsi="Times New Roman" w:cs="Times New Roman"/>
          <w:sz w:val="24"/>
          <w:szCs w:val="24"/>
          <w:lang w:val="ro-RO"/>
        </w:rPr>
        <w:t>asigură:</w:t>
      </w:r>
    </w:p>
    <w:p w:rsidR="00904678" w:rsidRPr="001900FD" w:rsidRDefault="00904678" w:rsidP="00FD459B">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Recunoaşterea </w:t>
      </w:r>
      <w:r w:rsidRPr="001900FD">
        <w:rPr>
          <w:rFonts w:ascii="Times New Roman" w:hAnsi="Times New Roman" w:cs="Times New Roman"/>
          <w:i/>
          <w:sz w:val="24"/>
          <w:szCs w:val="24"/>
          <w:lang w:val="ro-RO"/>
        </w:rPr>
        <w:t xml:space="preserve">in integrum </w:t>
      </w:r>
      <w:r w:rsidRPr="001900FD">
        <w:rPr>
          <w:rFonts w:ascii="Times New Roman" w:hAnsi="Times New Roman" w:cs="Times New Roman"/>
          <w:sz w:val="24"/>
          <w:szCs w:val="24"/>
          <w:lang w:val="ro-RO"/>
        </w:rPr>
        <w:t>şi automată a perioadei de studiu sau de plasament ERASMUS, a numărului total de credite transferabile</w:t>
      </w:r>
      <w:r w:rsidR="0087454C" w:rsidRPr="001900FD">
        <w:rPr>
          <w:rFonts w:ascii="Times New Roman" w:hAnsi="Times New Roman" w:cs="Times New Roman"/>
          <w:sz w:val="24"/>
          <w:szCs w:val="24"/>
          <w:lang w:val="ro-RO"/>
        </w:rPr>
        <w:t xml:space="preserve"> (ECTS)</w:t>
      </w:r>
      <w:r w:rsidRPr="001900FD">
        <w:rPr>
          <w:rFonts w:ascii="Times New Roman" w:hAnsi="Times New Roman" w:cs="Times New Roman"/>
          <w:sz w:val="24"/>
          <w:szCs w:val="24"/>
          <w:lang w:val="ro-RO"/>
        </w:rPr>
        <w:t xml:space="preserve"> acumulate de student pe perioada stagiului de către conducerea facultăţii la care studentul este înmatriculat. Întreaga perioadă de mobilitate efectuată în altă universitate înlocuieşte, prin recunoaştere, o perioadă cu aceeaşi durată fizică şi acelaşi volum de muncă (măsurat prin credite ECTS) pe care studentul/a ar efectua-o în instituţia unde este înmatriculat/ă. </w:t>
      </w:r>
    </w:p>
    <w:p w:rsidR="00904678" w:rsidRPr="001900FD" w:rsidRDefault="00904678" w:rsidP="00FD459B">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(2)</w:t>
      </w:r>
      <w:r w:rsidR="00601955">
        <w:rPr>
          <w:rFonts w:ascii="Times New Roman" w:hAnsi="Times New Roman" w:cs="Times New Roman"/>
          <w:sz w:val="24"/>
          <w:szCs w:val="24"/>
          <w:lang w:val="ro-RO"/>
        </w:rPr>
        <w:t xml:space="preserve"> </w:t>
      </w:r>
      <w:r w:rsidRPr="001900FD">
        <w:rPr>
          <w:rFonts w:ascii="Times New Roman" w:hAnsi="Times New Roman" w:cs="Times New Roman"/>
          <w:sz w:val="24"/>
          <w:szCs w:val="24"/>
          <w:lang w:val="ro-RO"/>
        </w:rPr>
        <w:t>Recunoaşterea creditelor certificate în foile matricole ca fiind obţinute de student la instituţia/instituţiile vizitată/e</w:t>
      </w:r>
      <w:r w:rsidR="00E80E1D" w:rsidRPr="001900FD">
        <w:rPr>
          <w:rFonts w:ascii="Times New Roman" w:hAnsi="Times New Roman" w:cs="Times New Roman"/>
          <w:sz w:val="24"/>
          <w:szCs w:val="24"/>
          <w:lang w:val="ro-RO"/>
        </w:rPr>
        <w:t>.</w:t>
      </w:r>
    </w:p>
    <w:p w:rsidR="00904678" w:rsidRPr="001900FD" w:rsidRDefault="00904678" w:rsidP="00FD459B">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(3) Echivalarea pentru perioadele de studiu sau de plasament Erasmus, în urma recunoaşterii menţionate la pct. (1) a calificativelor/notelor obţinute la disciplinele parcurse pe perioada stagiului, se realizează prin reguli de conversie clare, transparente, pe baza unei corespondenţe între sistemele de notare din cele două ţări</w:t>
      </w:r>
      <w:r w:rsidR="003F06F4" w:rsidRPr="001900FD">
        <w:rPr>
          <w:rFonts w:ascii="Times New Roman" w:hAnsi="Times New Roman" w:cs="Times New Roman"/>
          <w:sz w:val="24"/>
          <w:szCs w:val="24"/>
          <w:lang w:val="ro-RO"/>
        </w:rPr>
        <w:t xml:space="preserve"> (v. </w:t>
      </w:r>
      <w:r w:rsidR="003F06F4" w:rsidRPr="001900FD">
        <w:rPr>
          <w:rFonts w:ascii="Times New Roman" w:hAnsi="Times New Roman" w:cs="Times New Roman"/>
          <w:b/>
          <w:bCs/>
          <w:sz w:val="24"/>
          <w:szCs w:val="24"/>
          <w:lang w:val="ro-RO"/>
        </w:rPr>
        <w:t>Anexa 1</w:t>
      </w:r>
      <w:r w:rsidR="003F06F4" w:rsidRPr="001900FD">
        <w:rPr>
          <w:rFonts w:ascii="Times New Roman" w:hAnsi="Times New Roman" w:cs="Times New Roman"/>
          <w:sz w:val="24"/>
          <w:szCs w:val="24"/>
          <w:lang w:val="ro-RO"/>
        </w:rPr>
        <w:t xml:space="preserve"> – Grila de echivalare a notelor)</w:t>
      </w:r>
      <w:r w:rsidRPr="001900FD">
        <w:rPr>
          <w:rFonts w:ascii="Times New Roman" w:hAnsi="Times New Roman" w:cs="Times New Roman"/>
          <w:sz w:val="24"/>
          <w:szCs w:val="24"/>
          <w:lang w:val="ro-RO"/>
        </w:rPr>
        <w:t>.</w:t>
      </w:r>
    </w:p>
    <w:p w:rsidR="00D629DB" w:rsidRPr="001900FD" w:rsidRDefault="00D629DB" w:rsidP="00904678">
      <w:pPr>
        <w:jc w:val="both"/>
        <w:rPr>
          <w:rFonts w:ascii="Times New Roman" w:hAnsi="Times New Roman" w:cs="Times New Roman"/>
          <w:b/>
          <w:sz w:val="24"/>
          <w:szCs w:val="24"/>
          <w:lang w:val="ro-RO"/>
        </w:rPr>
      </w:pPr>
    </w:p>
    <w:p w:rsidR="00260BF9" w:rsidRPr="001900FD" w:rsidRDefault="00904678" w:rsidP="00904678">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lastRenderedPageBreak/>
        <w:t xml:space="preserve">Art. </w:t>
      </w:r>
      <w:r w:rsidR="00260BF9" w:rsidRPr="001900FD">
        <w:rPr>
          <w:rFonts w:ascii="Times New Roman" w:hAnsi="Times New Roman" w:cs="Times New Roman"/>
          <w:b/>
          <w:sz w:val="24"/>
          <w:szCs w:val="24"/>
          <w:lang w:val="ro-RO"/>
        </w:rPr>
        <w:t>3</w:t>
      </w:r>
      <w:r w:rsidR="00694537" w:rsidRPr="001900FD">
        <w:rPr>
          <w:rFonts w:ascii="Times New Roman" w:hAnsi="Times New Roman" w:cs="Times New Roman"/>
          <w:b/>
          <w:sz w:val="24"/>
          <w:szCs w:val="24"/>
          <w:lang w:val="ro-RO"/>
        </w:rPr>
        <w:t>0</w:t>
      </w:r>
      <w:r w:rsidRPr="001900FD">
        <w:rPr>
          <w:rFonts w:ascii="Times New Roman" w:hAnsi="Times New Roman" w:cs="Times New Roman"/>
          <w:b/>
          <w:sz w:val="24"/>
          <w:szCs w:val="24"/>
          <w:lang w:val="ro-RO"/>
        </w:rPr>
        <w:t>.</w:t>
      </w:r>
    </w:p>
    <w:p w:rsidR="00904678" w:rsidRPr="001900FD" w:rsidRDefault="00904678" w:rsidP="00904678">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La baza echivalării perioadei de mobilitate ERASMUS în străinătate stă sistemul european al creditelor transferabile ECTS astfel: </w:t>
      </w:r>
    </w:p>
    <w:p w:rsidR="00904678" w:rsidRPr="001900FD" w:rsidRDefault="00904678" w:rsidP="00FD459B">
      <w:pPr>
        <w:widowControl/>
        <w:numPr>
          <w:ilvl w:val="0"/>
          <w:numId w:val="37"/>
        </w:numPr>
        <w:autoSpaceDE/>
        <w:autoSpaceDN/>
        <w:ind w:left="0" w:firstLine="0"/>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La întoarcerea în ţară se vor înscrie, pe baza documentelor justificative prezentate de beneficiar, notele în registrul matricol. În cazul în care universitatea gazdă menţionează pe situaţia şcolară eliberată două tipuri de notare (nota locala şi nota ECTS), atunci va fi luat în calcul, în vederea echivalării, sistemul cel mai avantajos pentru student, pastrându-se aceeaşi unitate de evaluare. </w:t>
      </w:r>
    </w:p>
    <w:p w:rsidR="003F06F4" w:rsidRPr="001900FD" w:rsidRDefault="00904678" w:rsidP="00FD459B">
      <w:pPr>
        <w:widowControl/>
        <w:numPr>
          <w:ilvl w:val="0"/>
          <w:numId w:val="37"/>
        </w:numPr>
        <w:autoSpaceDE/>
        <w:autoSpaceDN/>
        <w:ind w:left="0" w:firstLine="0"/>
        <w:jc w:val="both"/>
        <w:rPr>
          <w:rFonts w:ascii="Times New Roman" w:hAnsi="Times New Roman" w:cs="Times New Roman"/>
          <w:b/>
          <w:bCs/>
          <w:sz w:val="24"/>
          <w:szCs w:val="24"/>
          <w:lang w:val="ro-RO"/>
        </w:rPr>
      </w:pPr>
      <w:r w:rsidRPr="001900FD">
        <w:rPr>
          <w:rFonts w:ascii="Times New Roman" w:hAnsi="Times New Roman" w:cs="Times New Roman"/>
          <w:sz w:val="24"/>
          <w:szCs w:val="24"/>
          <w:lang w:val="ro-RO"/>
        </w:rPr>
        <w:t xml:space="preserve">În cazul disciplinelor evaluate prin calificative „Admis / Respins”, în suplimentul de diplomă se vor înscrie punctele de credit obţinute şi calificativul respectiv. </w:t>
      </w:r>
    </w:p>
    <w:p w:rsidR="00904678" w:rsidRPr="001900FD" w:rsidRDefault="00904678" w:rsidP="00FD459B">
      <w:pPr>
        <w:widowControl/>
        <w:numPr>
          <w:ilvl w:val="0"/>
          <w:numId w:val="37"/>
        </w:numPr>
        <w:autoSpaceDE/>
        <w:autoSpaceDN/>
        <w:ind w:left="0" w:firstLine="0"/>
        <w:jc w:val="both"/>
        <w:rPr>
          <w:rFonts w:ascii="Times New Roman" w:hAnsi="Times New Roman" w:cs="Times New Roman"/>
          <w:b/>
          <w:bCs/>
          <w:sz w:val="24"/>
          <w:szCs w:val="24"/>
          <w:lang w:val="ro-RO"/>
        </w:rPr>
      </w:pPr>
      <w:r w:rsidRPr="001900FD">
        <w:rPr>
          <w:rFonts w:ascii="Times New Roman" w:hAnsi="Times New Roman" w:cs="Times New Roman"/>
          <w:sz w:val="24"/>
          <w:szCs w:val="24"/>
          <w:lang w:val="ro-RO"/>
        </w:rPr>
        <w:t>În cazul disciplinelor la care studentul a obţinut note inferioare notei minime de promovare, dar care fac parte din module de studiu speciale, dacă universitatea parteneră validează întreg modulul de studii şi acordă punctele de credit aferente disciplinei respective, echivalarea se va realiza cu nota 5.</w:t>
      </w:r>
    </w:p>
    <w:p w:rsidR="00722B52" w:rsidRPr="001900FD" w:rsidRDefault="00904678" w:rsidP="00722B52">
      <w:pPr>
        <w:widowControl/>
        <w:numPr>
          <w:ilvl w:val="0"/>
          <w:numId w:val="37"/>
        </w:numPr>
        <w:autoSpaceDE/>
        <w:autoSpaceDN/>
        <w:ind w:left="0" w:firstLine="0"/>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În </w:t>
      </w:r>
      <w:r w:rsidR="003F06F4" w:rsidRPr="001900FD">
        <w:rPr>
          <w:rFonts w:ascii="Times New Roman" w:hAnsi="Times New Roman" w:cs="Times New Roman"/>
          <w:sz w:val="24"/>
          <w:szCs w:val="24"/>
          <w:lang w:val="ro-RO"/>
        </w:rPr>
        <w:t>S</w:t>
      </w:r>
      <w:r w:rsidRPr="001900FD">
        <w:rPr>
          <w:rFonts w:ascii="Times New Roman" w:hAnsi="Times New Roman" w:cs="Times New Roman"/>
          <w:sz w:val="24"/>
          <w:szCs w:val="24"/>
          <w:lang w:val="ro-RO"/>
        </w:rPr>
        <w:t xml:space="preserve">uplimentul </w:t>
      </w:r>
      <w:r w:rsidR="003F06F4" w:rsidRPr="001900FD">
        <w:rPr>
          <w:rFonts w:ascii="Times New Roman" w:hAnsi="Times New Roman" w:cs="Times New Roman"/>
          <w:sz w:val="24"/>
          <w:szCs w:val="24"/>
          <w:lang w:val="ro-RO"/>
        </w:rPr>
        <w:t>la</w:t>
      </w:r>
      <w:r w:rsidRPr="001900FD">
        <w:rPr>
          <w:rFonts w:ascii="Times New Roman" w:hAnsi="Times New Roman" w:cs="Times New Roman"/>
          <w:sz w:val="24"/>
          <w:szCs w:val="24"/>
          <w:lang w:val="ro-RO"/>
        </w:rPr>
        <w:t xml:space="preserve"> diploma al studentului/ei se vor înscrie titlurile </w:t>
      </w:r>
      <w:r w:rsidR="002C67E1" w:rsidRPr="001900FD">
        <w:rPr>
          <w:rFonts w:ascii="Times New Roman" w:hAnsi="Times New Roman" w:cs="Times New Roman"/>
          <w:b/>
          <w:bCs/>
          <w:sz w:val="24"/>
          <w:szCs w:val="24"/>
          <w:lang w:val="ro-RO"/>
        </w:rPr>
        <w:t xml:space="preserve">originale </w:t>
      </w:r>
      <w:r w:rsidR="002C67E1" w:rsidRPr="001900FD">
        <w:rPr>
          <w:rFonts w:ascii="Times New Roman" w:hAnsi="Times New Roman" w:cs="Times New Roman"/>
          <w:sz w:val="24"/>
          <w:szCs w:val="24"/>
          <w:lang w:val="ro-RO"/>
        </w:rPr>
        <w:t xml:space="preserve">ale </w:t>
      </w:r>
      <w:r w:rsidRPr="001900FD">
        <w:rPr>
          <w:rFonts w:ascii="Times New Roman" w:hAnsi="Times New Roman" w:cs="Times New Roman"/>
          <w:sz w:val="24"/>
          <w:szCs w:val="24"/>
          <w:lang w:val="ro-RO"/>
        </w:rPr>
        <w:t xml:space="preserve">disciplinelor studiate în forma în care au fost aprobate în </w:t>
      </w:r>
      <w:r w:rsidR="009D6F42" w:rsidRPr="001900FD">
        <w:rPr>
          <w:rFonts w:ascii="Times New Roman" w:hAnsi="Times New Roman" w:cs="Times New Roman"/>
          <w:sz w:val="24"/>
          <w:szCs w:val="24"/>
          <w:lang w:val="ro-RO"/>
        </w:rPr>
        <w:t>Acordul de studii/formare profesională</w:t>
      </w:r>
      <w:r w:rsidRPr="001900FD">
        <w:rPr>
          <w:rFonts w:ascii="Times New Roman" w:hAnsi="Times New Roman" w:cs="Times New Roman"/>
          <w:sz w:val="24"/>
          <w:szCs w:val="24"/>
          <w:lang w:val="ro-RO"/>
        </w:rPr>
        <w:t>, rezultatele profesionale din perioada recunoscută</w:t>
      </w:r>
      <w:r w:rsidR="003F06F4" w:rsidRPr="001900FD">
        <w:rPr>
          <w:rFonts w:ascii="Times New Roman" w:hAnsi="Times New Roman" w:cs="Times New Roman"/>
          <w:sz w:val="24"/>
          <w:szCs w:val="24"/>
          <w:lang w:val="ro-RO"/>
        </w:rPr>
        <w:t>,cu mentiuni clare c</w:t>
      </w:r>
      <w:r w:rsidR="002F7092" w:rsidRPr="001900FD">
        <w:rPr>
          <w:rFonts w:ascii="Times New Roman" w:hAnsi="Times New Roman" w:cs="Times New Roman"/>
          <w:sz w:val="24"/>
          <w:szCs w:val="24"/>
          <w:lang w:val="ro-RO"/>
        </w:rPr>
        <w:t>ă</w:t>
      </w:r>
      <w:r w:rsidR="003F06F4" w:rsidRPr="001900FD">
        <w:rPr>
          <w:rFonts w:ascii="Times New Roman" w:hAnsi="Times New Roman" w:cs="Times New Roman"/>
          <w:sz w:val="24"/>
          <w:szCs w:val="24"/>
          <w:lang w:val="ro-RO"/>
        </w:rPr>
        <w:t xml:space="preserve"> aceasta perioada a fost efectuata in timpul mobilitatii si preciz</w:t>
      </w:r>
      <w:r w:rsidR="002F7092" w:rsidRPr="001900FD">
        <w:rPr>
          <w:rFonts w:ascii="Times New Roman" w:hAnsi="Times New Roman" w:cs="Times New Roman"/>
          <w:sz w:val="24"/>
          <w:szCs w:val="24"/>
          <w:lang w:val="ro-RO"/>
        </w:rPr>
        <w:t>â</w:t>
      </w:r>
      <w:r w:rsidR="003F06F4" w:rsidRPr="001900FD">
        <w:rPr>
          <w:rFonts w:ascii="Times New Roman" w:hAnsi="Times New Roman" w:cs="Times New Roman"/>
          <w:sz w:val="24"/>
          <w:szCs w:val="24"/>
          <w:lang w:val="ro-RO"/>
        </w:rPr>
        <w:t>nd institutia unde a fost realizata mobilitatea.</w:t>
      </w:r>
    </w:p>
    <w:p w:rsidR="00904678" w:rsidRPr="001900FD" w:rsidRDefault="00904678" w:rsidP="00722B52">
      <w:pPr>
        <w:widowControl/>
        <w:numPr>
          <w:ilvl w:val="0"/>
          <w:numId w:val="37"/>
        </w:numPr>
        <w:autoSpaceDE/>
        <w:autoSpaceDN/>
        <w:ind w:left="0" w:firstLine="0"/>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Documentul prin care se realizează recunoaşterea academică a studiilor efectuate în străinătate este Fişa de echivalare a rezultatelor obţinute în mobilitate, întocmită la nivelul facultăţii de origine, în baza situaţiei şcolare emise de instituţia parteneră şi a Acordului de studii/formare profesională aprobat de cele trei părţi participante la mobilitate (student, universitatea de origine, universitatea gazdă). Fişa de echivalare va fi emisă şi semnată de către membrii Comisiei de </w:t>
      </w:r>
      <w:r w:rsidR="009D6F42" w:rsidRPr="001900FD">
        <w:rPr>
          <w:rFonts w:ascii="Times New Roman" w:hAnsi="Times New Roman" w:cs="Times New Roman"/>
          <w:sz w:val="24"/>
          <w:szCs w:val="24"/>
          <w:lang w:val="ro-RO"/>
        </w:rPr>
        <w:t>R</w:t>
      </w:r>
      <w:r w:rsidRPr="001900FD">
        <w:rPr>
          <w:rFonts w:ascii="Times New Roman" w:hAnsi="Times New Roman" w:cs="Times New Roman"/>
          <w:sz w:val="24"/>
          <w:szCs w:val="24"/>
          <w:lang w:val="ro-RO"/>
        </w:rPr>
        <w:t>ecunoaştere</w:t>
      </w:r>
      <w:r w:rsidR="009D6F42" w:rsidRPr="001900FD">
        <w:rPr>
          <w:rFonts w:ascii="Times New Roman" w:hAnsi="Times New Roman" w:cs="Times New Roman"/>
          <w:sz w:val="24"/>
          <w:szCs w:val="24"/>
          <w:lang w:val="ro-RO"/>
        </w:rPr>
        <w:t xml:space="preserve"> Academică</w:t>
      </w:r>
      <w:r w:rsidRPr="001900FD">
        <w:rPr>
          <w:rFonts w:ascii="Times New Roman" w:hAnsi="Times New Roman" w:cs="Times New Roman"/>
          <w:sz w:val="24"/>
          <w:szCs w:val="24"/>
          <w:lang w:val="ro-RO"/>
        </w:rPr>
        <w:t>.</w:t>
      </w:r>
    </w:p>
    <w:p w:rsidR="00904678" w:rsidRPr="001900FD" w:rsidRDefault="00904678" w:rsidP="00FD459B">
      <w:pPr>
        <w:jc w:val="both"/>
        <w:rPr>
          <w:rFonts w:ascii="Times New Roman" w:hAnsi="Times New Roman" w:cs="Times New Roman"/>
          <w:b/>
          <w:sz w:val="24"/>
          <w:szCs w:val="24"/>
          <w:lang w:val="ro-RO"/>
        </w:rPr>
      </w:pPr>
    </w:p>
    <w:p w:rsidR="00260BF9" w:rsidRPr="001900FD" w:rsidRDefault="00904678" w:rsidP="00904678">
      <w:pPr>
        <w:adjustRightInd w:val="0"/>
        <w:jc w:val="both"/>
        <w:rPr>
          <w:rFonts w:ascii="Times New Roman" w:hAnsi="Times New Roman" w:cs="Times New Roman"/>
          <w:sz w:val="24"/>
          <w:szCs w:val="24"/>
          <w:lang w:val="ro-RO" w:eastAsia="ro-RO"/>
        </w:rPr>
      </w:pPr>
      <w:r w:rsidRPr="001900FD">
        <w:rPr>
          <w:rFonts w:ascii="Times New Roman" w:hAnsi="Times New Roman" w:cs="Times New Roman"/>
          <w:b/>
          <w:sz w:val="24"/>
          <w:szCs w:val="24"/>
          <w:lang w:val="ro-RO" w:eastAsia="ro-RO"/>
        </w:rPr>
        <w:t xml:space="preserve">Art. </w:t>
      </w:r>
      <w:r w:rsidR="000D7CE3" w:rsidRPr="001900FD">
        <w:rPr>
          <w:rFonts w:ascii="Times New Roman" w:hAnsi="Times New Roman" w:cs="Times New Roman"/>
          <w:b/>
          <w:sz w:val="24"/>
          <w:szCs w:val="24"/>
          <w:lang w:val="ro-RO" w:eastAsia="ro-RO"/>
        </w:rPr>
        <w:t>3</w:t>
      </w:r>
      <w:r w:rsidR="00694537" w:rsidRPr="001900FD">
        <w:rPr>
          <w:rFonts w:ascii="Times New Roman" w:hAnsi="Times New Roman" w:cs="Times New Roman"/>
          <w:b/>
          <w:sz w:val="24"/>
          <w:szCs w:val="24"/>
          <w:lang w:val="ro-RO" w:eastAsia="ro-RO"/>
        </w:rPr>
        <w:t>1</w:t>
      </w:r>
      <w:r w:rsidRPr="001900FD">
        <w:rPr>
          <w:rFonts w:ascii="Times New Roman" w:hAnsi="Times New Roman" w:cs="Times New Roman"/>
          <w:sz w:val="24"/>
          <w:szCs w:val="24"/>
          <w:lang w:val="ro-RO" w:eastAsia="ro-RO"/>
        </w:rPr>
        <w:t>.</w:t>
      </w:r>
    </w:p>
    <w:p w:rsidR="00904678" w:rsidRPr="001900FD" w:rsidRDefault="007079DE" w:rsidP="00904678">
      <w:pPr>
        <w:adjustRightInd w:val="0"/>
        <w:jc w:val="both"/>
        <w:rPr>
          <w:rFonts w:ascii="Times New Roman" w:hAnsi="Times New Roman" w:cs="Times New Roman"/>
          <w:b/>
          <w:sz w:val="24"/>
          <w:szCs w:val="24"/>
          <w:lang w:val="ro-RO"/>
        </w:rPr>
      </w:pPr>
      <w:r w:rsidRPr="001900FD">
        <w:rPr>
          <w:rFonts w:ascii="Times New Roman" w:hAnsi="Times New Roman" w:cs="Times New Roman"/>
          <w:sz w:val="24"/>
          <w:szCs w:val="24"/>
          <w:lang w:val="ro-RO" w:eastAsia="ro-RO"/>
        </w:rPr>
        <w:t xml:space="preserve">(1) </w:t>
      </w:r>
      <w:r w:rsidR="00904678" w:rsidRPr="001900FD">
        <w:rPr>
          <w:rFonts w:ascii="Times New Roman" w:hAnsi="Times New Roman" w:cs="Times New Roman"/>
          <w:sz w:val="24"/>
          <w:szCs w:val="24"/>
          <w:lang w:val="ro-RO" w:eastAsia="ro-RO"/>
        </w:rPr>
        <w:t xml:space="preserve">Disciplinele suplimentare parcurse şi promovate de student pe perioada stagiului, în afara celor stabilite prin </w:t>
      </w:r>
      <w:r w:rsidR="00904678" w:rsidRPr="001900FD">
        <w:rPr>
          <w:rFonts w:ascii="Times New Roman" w:hAnsi="Times New Roman" w:cs="Times New Roman"/>
          <w:sz w:val="24"/>
          <w:szCs w:val="24"/>
          <w:lang w:val="ro-RO"/>
        </w:rPr>
        <w:t xml:space="preserve">Acordul de studii/formare profesională </w:t>
      </w:r>
      <w:r w:rsidR="00904678" w:rsidRPr="001900FD">
        <w:rPr>
          <w:rFonts w:ascii="Times New Roman" w:hAnsi="Times New Roman" w:cs="Times New Roman"/>
          <w:sz w:val="24"/>
          <w:szCs w:val="24"/>
          <w:lang w:val="ro-RO" w:eastAsia="ro-RO"/>
        </w:rPr>
        <w:t xml:space="preserve">şi înregistrate în Situaţia şcolară, se vor recunoaşte şi echivala la fel ca şi disciplinele stabilite prin Acordul de </w:t>
      </w:r>
      <w:r w:rsidR="009D6F42" w:rsidRPr="001900FD">
        <w:rPr>
          <w:rFonts w:ascii="Times New Roman" w:hAnsi="Times New Roman" w:cs="Times New Roman"/>
          <w:sz w:val="24"/>
          <w:szCs w:val="24"/>
          <w:lang w:val="ro-RO"/>
        </w:rPr>
        <w:t>studii/formare profesională</w:t>
      </w:r>
      <w:r w:rsidR="00904678" w:rsidRPr="001900FD">
        <w:rPr>
          <w:rFonts w:ascii="Times New Roman" w:hAnsi="Times New Roman" w:cs="Times New Roman"/>
          <w:sz w:val="24"/>
          <w:szCs w:val="24"/>
          <w:lang w:val="ro-RO" w:eastAsia="ro-RO"/>
        </w:rPr>
        <w:t xml:space="preserve"> şi vor fi înregistrate în Suplimentul la Diplomă ca şi discipline facultative.</w:t>
      </w:r>
    </w:p>
    <w:p w:rsidR="00904678" w:rsidRPr="001900FD" w:rsidRDefault="00904678" w:rsidP="00904678">
      <w:pPr>
        <w:jc w:val="both"/>
        <w:rPr>
          <w:rFonts w:ascii="Times New Roman" w:hAnsi="Times New Roman" w:cs="Times New Roman"/>
          <w:b/>
          <w:sz w:val="24"/>
          <w:szCs w:val="24"/>
          <w:lang w:val="ro-RO"/>
        </w:rPr>
      </w:pPr>
    </w:p>
    <w:p w:rsidR="00FD459B" w:rsidRPr="001900FD" w:rsidRDefault="00904678" w:rsidP="00904678">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 xml:space="preserve">Art. </w:t>
      </w:r>
      <w:r w:rsidR="000D7CE3" w:rsidRPr="001900FD">
        <w:rPr>
          <w:rFonts w:ascii="Times New Roman" w:hAnsi="Times New Roman" w:cs="Times New Roman"/>
          <w:b/>
          <w:sz w:val="24"/>
          <w:szCs w:val="24"/>
          <w:lang w:val="ro-RO"/>
        </w:rPr>
        <w:t>3</w:t>
      </w:r>
      <w:r w:rsidR="00694537" w:rsidRPr="001900FD">
        <w:rPr>
          <w:rFonts w:ascii="Times New Roman" w:hAnsi="Times New Roman" w:cs="Times New Roman"/>
          <w:b/>
          <w:sz w:val="24"/>
          <w:szCs w:val="24"/>
          <w:lang w:val="ro-RO"/>
        </w:rPr>
        <w:t>2</w:t>
      </w:r>
      <w:r w:rsidRPr="001900FD">
        <w:rPr>
          <w:rFonts w:ascii="Times New Roman" w:hAnsi="Times New Roman" w:cs="Times New Roman"/>
          <w:sz w:val="24"/>
          <w:szCs w:val="24"/>
          <w:lang w:val="ro-RO"/>
        </w:rPr>
        <w:t xml:space="preserve">. </w:t>
      </w:r>
    </w:p>
    <w:p w:rsidR="00FD459B" w:rsidRPr="001900FD" w:rsidRDefault="00904678" w:rsidP="00904678">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Echivalarea perioadei de mobilitate ERASMUS nu prejudiciază poziţia studentului în clasamentul facultăţii de origine pentru anul universitar ulterior celui în care studentul a participat la mobilitatea ERASMUS. </w:t>
      </w:r>
    </w:p>
    <w:p w:rsidR="00904678" w:rsidRPr="001900FD" w:rsidRDefault="00904678" w:rsidP="00904678">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(2) Studentul ERASMUS are dreptul, în baza unei proceduri specifice de reclasificare, nediscriminatorie, să susţină în anul universitar următor eventualele examene nepromovate </w:t>
      </w:r>
      <w:r w:rsidR="00011E5D" w:rsidRPr="001900FD">
        <w:rPr>
          <w:rFonts w:ascii="Times New Roman" w:hAnsi="Times New Roman" w:cs="Times New Roman"/>
          <w:sz w:val="24"/>
          <w:szCs w:val="24"/>
          <w:lang w:val="ro-RO"/>
        </w:rPr>
        <w:t xml:space="preserve">pe parcursul mobilității. </w:t>
      </w:r>
      <w:r w:rsidRPr="001900FD">
        <w:rPr>
          <w:rFonts w:ascii="Times New Roman" w:hAnsi="Times New Roman" w:cs="Times New Roman"/>
          <w:sz w:val="24"/>
          <w:szCs w:val="24"/>
          <w:lang w:val="ro-RO"/>
        </w:rPr>
        <w:t xml:space="preserve">Similar se pot susţine examene şi la </w:t>
      </w:r>
      <w:r w:rsidR="009D6F42" w:rsidRPr="001900FD">
        <w:rPr>
          <w:rFonts w:ascii="Times New Roman" w:hAnsi="Times New Roman" w:cs="Times New Roman"/>
          <w:sz w:val="24"/>
          <w:szCs w:val="24"/>
          <w:lang w:val="ro-RO"/>
        </w:rPr>
        <w:t xml:space="preserve">alte </w:t>
      </w:r>
      <w:r w:rsidRPr="001900FD">
        <w:rPr>
          <w:rFonts w:ascii="Times New Roman" w:hAnsi="Times New Roman" w:cs="Times New Roman"/>
          <w:sz w:val="24"/>
          <w:szCs w:val="24"/>
          <w:lang w:val="ro-RO"/>
        </w:rPr>
        <w:t>discipline</w:t>
      </w:r>
      <w:r w:rsidR="009D6F42" w:rsidRPr="001900FD">
        <w:rPr>
          <w:rFonts w:ascii="Times New Roman" w:hAnsi="Times New Roman" w:cs="Times New Roman"/>
          <w:sz w:val="24"/>
          <w:szCs w:val="24"/>
          <w:lang w:val="ro-RO"/>
        </w:rPr>
        <w:t>,</w:t>
      </w:r>
      <w:r w:rsidRPr="001900FD">
        <w:rPr>
          <w:rFonts w:ascii="Times New Roman" w:hAnsi="Times New Roman" w:cs="Times New Roman"/>
          <w:sz w:val="24"/>
          <w:szCs w:val="24"/>
          <w:lang w:val="ro-RO"/>
        </w:rPr>
        <w:t xml:space="preserve"> care nu fac obiectul </w:t>
      </w:r>
      <w:r w:rsidR="009D6F42" w:rsidRPr="001900FD">
        <w:rPr>
          <w:rFonts w:ascii="Times New Roman" w:hAnsi="Times New Roman" w:cs="Times New Roman"/>
          <w:sz w:val="24"/>
          <w:szCs w:val="24"/>
          <w:lang w:val="ro-RO"/>
        </w:rPr>
        <w:t>A</w:t>
      </w:r>
      <w:r w:rsidRPr="001900FD">
        <w:rPr>
          <w:rFonts w:ascii="Times New Roman" w:hAnsi="Times New Roman" w:cs="Times New Roman"/>
          <w:sz w:val="24"/>
          <w:szCs w:val="24"/>
          <w:lang w:val="ro-RO"/>
        </w:rPr>
        <w:t>cordului de studii/formare profesională aferent mobilităţii ERASMUS.</w:t>
      </w:r>
    </w:p>
    <w:p w:rsidR="00904678" w:rsidRPr="001900FD" w:rsidRDefault="00904678" w:rsidP="00904678">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(3)</w:t>
      </w:r>
      <w:r w:rsidR="00601955">
        <w:rPr>
          <w:rFonts w:ascii="Times New Roman" w:hAnsi="Times New Roman" w:cs="Times New Roman"/>
          <w:sz w:val="24"/>
          <w:szCs w:val="24"/>
          <w:lang w:val="ro-RO"/>
        </w:rPr>
        <w:t xml:space="preserve"> </w:t>
      </w:r>
      <w:r w:rsidRPr="001900FD">
        <w:rPr>
          <w:rFonts w:ascii="Times New Roman" w:hAnsi="Times New Roman" w:cs="Times New Roman"/>
          <w:sz w:val="24"/>
          <w:szCs w:val="24"/>
          <w:lang w:val="ro-RO"/>
        </w:rPr>
        <w:t xml:space="preserve">Examenele menţionate la </w:t>
      </w:r>
      <w:r w:rsidR="000802F1" w:rsidRPr="001900FD">
        <w:rPr>
          <w:rFonts w:ascii="Times New Roman" w:hAnsi="Times New Roman" w:cs="Times New Roman"/>
          <w:sz w:val="24"/>
          <w:szCs w:val="24"/>
          <w:lang w:val="ro-RO"/>
        </w:rPr>
        <w:t>A</w:t>
      </w:r>
      <w:r w:rsidRPr="001900FD">
        <w:rPr>
          <w:rFonts w:ascii="Times New Roman" w:hAnsi="Times New Roman" w:cs="Times New Roman"/>
          <w:sz w:val="24"/>
          <w:szCs w:val="24"/>
          <w:lang w:val="ro-RO"/>
        </w:rPr>
        <w:t>lin. (2) se susţin în timpul sesiunilor de examene aprobate la nivelul universităţii. Sesiuni speciale de examene se pot organiza în cazul în care studenţii se află în situaţia de a nu putea participa la sesiunile de examene aprobate la nivelul universităţii, ca urmare a participării la stagiul ERASMUS.</w:t>
      </w:r>
    </w:p>
    <w:p w:rsidR="00904678" w:rsidRPr="001900FD" w:rsidRDefault="00904678" w:rsidP="00904678">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(4) Procedura menţionată la </w:t>
      </w:r>
      <w:r w:rsidR="000802F1" w:rsidRPr="001900FD">
        <w:rPr>
          <w:rFonts w:ascii="Times New Roman" w:hAnsi="Times New Roman" w:cs="Times New Roman"/>
          <w:sz w:val="24"/>
          <w:szCs w:val="24"/>
          <w:lang w:val="ro-RO"/>
        </w:rPr>
        <w:t>A</w:t>
      </w:r>
      <w:r w:rsidRPr="001900FD">
        <w:rPr>
          <w:rFonts w:ascii="Times New Roman" w:hAnsi="Times New Roman" w:cs="Times New Roman"/>
          <w:sz w:val="24"/>
          <w:szCs w:val="24"/>
          <w:lang w:val="ro-RO"/>
        </w:rPr>
        <w:t>lin. (2) se elaborează la nivelul fiecărei facultăţi.</w:t>
      </w:r>
    </w:p>
    <w:p w:rsidR="005A4F8E" w:rsidRDefault="005A4F8E" w:rsidP="00904678">
      <w:pPr>
        <w:jc w:val="both"/>
        <w:rPr>
          <w:rFonts w:ascii="Times New Roman" w:hAnsi="Times New Roman" w:cs="Times New Roman"/>
          <w:b/>
          <w:sz w:val="24"/>
          <w:szCs w:val="24"/>
          <w:lang w:val="ro-RO"/>
        </w:rPr>
      </w:pPr>
    </w:p>
    <w:p w:rsidR="00260BF9" w:rsidRPr="001900FD" w:rsidRDefault="00904678" w:rsidP="00904678">
      <w:pPr>
        <w:jc w:val="both"/>
        <w:rPr>
          <w:rFonts w:ascii="Times New Roman" w:hAnsi="Times New Roman" w:cs="Times New Roman"/>
          <w:sz w:val="24"/>
          <w:szCs w:val="24"/>
          <w:lang w:val="ro-RO"/>
        </w:rPr>
      </w:pPr>
      <w:r w:rsidRPr="001900FD">
        <w:rPr>
          <w:rFonts w:ascii="Times New Roman" w:hAnsi="Times New Roman" w:cs="Times New Roman"/>
          <w:b/>
          <w:sz w:val="24"/>
          <w:szCs w:val="24"/>
          <w:lang w:val="ro-RO"/>
        </w:rPr>
        <w:t xml:space="preserve">Art. </w:t>
      </w:r>
      <w:r w:rsidR="000D7CE3" w:rsidRPr="001900FD">
        <w:rPr>
          <w:rFonts w:ascii="Times New Roman" w:hAnsi="Times New Roman" w:cs="Times New Roman"/>
          <w:b/>
          <w:sz w:val="24"/>
          <w:szCs w:val="24"/>
          <w:lang w:val="ro-RO"/>
        </w:rPr>
        <w:t>3</w:t>
      </w:r>
      <w:r w:rsidR="00694537" w:rsidRPr="001900FD">
        <w:rPr>
          <w:rFonts w:ascii="Times New Roman" w:hAnsi="Times New Roman" w:cs="Times New Roman"/>
          <w:b/>
          <w:sz w:val="24"/>
          <w:szCs w:val="24"/>
          <w:lang w:val="ro-RO"/>
        </w:rPr>
        <w:t>3</w:t>
      </w:r>
      <w:r w:rsidRPr="001900FD">
        <w:rPr>
          <w:rFonts w:ascii="Times New Roman" w:hAnsi="Times New Roman" w:cs="Times New Roman"/>
          <w:b/>
          <w:sz w:val="24"/>
          <w:szCs w:val="24"/>
          <w:lang w:val="ro-RO"/>
        </w:rPr>
        <w:t>.</w:t>
      </w:r>
    </w:p>
    <w:p w:rsidR="00904678" w:rsidRPr="001900FD" w:rsidRDefault="007079DE" w:rsidP="00904678">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(1) </w:t>
      </w:r>
      <w:r w:rsidR="00904678" w:rsidRPr="001900FD">
        <w:rPr>
          <w:rFonts w:ascii="Times New Roman" w:hAnsi="Times New Roman" w:cs="Times New Roman"/>
          <w:sz w:val="24"/>
          <w:szCs w:val="24"/>
          <w:lang w:val="ro-RO"/>
        </w:rPr>
        <w:t>Drepturile câştigate ca student la universitatea de origine, respectiv subvenţia de studiu, bursele de studiu, bursele sociale, bursele de excelenţă, alte drepturi sau facilităţi, nu se pot retrage pe perioada stagiului E</w:t>
      </w:r>
      <w:r w:rsidR="004941D9" w:rsidRPr="001900FD">
        <w:rPr>
          <w:rFonts w:ascii="Times New Roman" w:hAnsi="Times New Roman" w:cs="Times New Roman"/>
          <w:sz w:val="24"/>
          <w:szCs w:val="24"/>
          <w:lang w:val="ro-RO"/>
        </w:rPr>
        <w:t>RASMUS</w:t>
      </w:r>
      <w:r w:rsidR="00904678" w:rsidRPr="001900FD">
        <w:rPr>
          <w:rFonts w:ascii="Times New Roman" w:hAnsi="Times New Roman" w:cs="Times New Roman"/>
          <w:sz w:val="24"/>
          <w:szCs w:val="24"/>
          <w:lang w:val="ro-RO"/>
        </w:rPr>
        <w:t xml:space="preserve"> sau din cauza participării la Programul </w:t>
      </w:r>
      <w:r w:rsidR="004941D9" w:rsidRPr="001900FD">
        <w:rPr>
          <w:rFonts w:ascii="Times New Roman" w:hAnsi="Times New Roman" w:cs="Times New Roman"/>
          <w:sz w:val="24"/>
          <w:szCs w:val="24"/>
          <w:lang w:val="ro-RO"/>
        </w:rPr>
        <w:t>ERASMUS</w:t>
      </w:r>
      <w:r w:rsidR="00904678" w:rsidRPr="001900FD">
        <w:rPr>
          <w:rFonts w:ascii="Times New Roman" w:hAnsi="Times New Roman" w:cs="Times New Roman"/>
          <w:sz w:val="24"/>
          <w:szCs w:val="24"/>
          <w:lang w:val="ro-RO"/>
        </w:rPr>
        <w:t>.</w:t>
      </w:r>
    </w:p>
    <w:p w:rsidR="00904678" w:rsidRPr="001900FD" w:rsidRDefault="00904678" w:rsidP="00904678">
      <w:pPr>
        <w:ind w:firstLine="720"/>
        <w:jc w:val="both"/>
        <w:rPr>
          <w:rFonts w:ascii="Times New Roman" w:hAnsi="Times New Roman" w:cs="Times New Roman"/>
          <w:sz w:val="24"/>
          <w:szCs w:val="24"/>
          <w:lang w:val="ro-RO"/>
        </w:rPr>
      </w:pPr>
    </w:p>
    <w:p w:rsidR="00FD459B" w:rsidRPr="001900FD" w:rsidRDefault="00904678" w:rsidP="00904678">
      <w:pPr>
        <w:jc w:val="both"/>
        <w:rPr>
          <w:rFonts w:ascii="Times New Roman" w:hAnsi="Times New Roman" w:cs="Times New Roman"/>
          <w:b/>
          <w:sz w:val="24"/>
          <w:szCs w:val="24"/>
          <w:lang w:val="ro-RO"/>
        </w:rPr>
      </w:pPr>
      <w:r w:rsidRPr="001900FD">
        <w:rPr>
          <w:rFonts w:ascii="Times New Roman" w:hAnsi="Times New Roman" w:cs="Times New Roman"/>
          <w:b/>
          <w:sz w:val="24"/>
          <w:szCs w:val="24"/>
          <w:lang w:val="ro-RO"/>
        </w:rPr>
        <w:t xml:space="preserve">Art. </w:t>
      </w:r>
      <w:r w:rsidR="000D7CE3" w:rsidRPr="001900FD">
        <w:rPr>
          <w:rFonts w:ascii="Times New Roman" w:hAnsi="Times New Roman" w:cs="Times New Roman"/>
          <w:b/>
          <w:sz w:val="24"/>
          <w:szCs w:val="24"/>
          <w:lang w:val="ro-RO"/>
        </w:rPr>
        <w:t>3</w:t>
      </w:r>
      <w:r w:rsidR="00694537" w:rsidRPr="001900FD">
        <w:rPr>
          <w:rFonts w:ascii="Times New Roman" w:hAnsi="Times New Roman" w:cs="Times New Roman"/>
          <w:b/>
          <w:sz w:val="24"/>
          <w:szCs w:val="24"/>
          <w:lang w:val="ro-RO"/>
        </w:rPr>
        <w:t>4</w:t>
      </w:r>
      <w:r w:rsidRPr="001900FD">
        <w:rPr>
          <w:rFonts w:ascii="Times New Roman" w:hAnsi="Times New Roman" w:cs="Times New Roman"/>
          <w:b/>
          <w:sz w:val="24"/>
          <w:szCs w:val="24"/>
          <w:lang w:val="ro-RO"/>
        </w:rPr>
        <w:t xml:space="preserve">. </w:t>
      </w:r>
    </w:p>
    <w:p w:rsidR="00904678" w:rsidRPr="001900FD" w:rsidRDefault="00904678" w:rsidP="00904678">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(1)</w:t>
      </w:r>
      <w:r w:rsidR="00601955">
        <w:rPr>
          <w:rFonts w:ascii="Times New Roman" w:hAnsi="Times New Roman" w:cs="Times New Roman"/>
          <w:sz w:val="24"/>
          <w:szCs w:val="24"/>
          <w:lang w:val="ro-RO"/>
        </w:rPr>
        <w:t xml:space="preserve"> </w:t>
      </w:r>
      <w:r w:rsidRPr="001900FD">
        <w:rPr>
          <w:rFonts w:ascii="Times New Roman" w:hAnsi="Times New Roman" w:cs="Times New Roman"/>
          <w:sz w:val="24"/>
          <w:szCs w:val="24"/>
          <w:lang w:val="ro-RO"/>
        </w:rPr>
        <w:t xml:space="preserve">Contestaţiile la deciziile Comisiei de </w:t>
      </w:r>
      <w:r w:rsidR="009D6F42" w:rsidRPr="001900FD">
        <w:rPr>
          <w:rFonts w:ascii="Times New Roman" w:hAnsi="Times New Roman" w:cs="Times New Roman"/>
          <w:sz w:val="24"/>
          <w:szCs w:val="24"/>
          <w:lang w:val="ro-RO"/>
        </w:rPr>
        <w:t>R</w:t>
      </w:r>
      <w:r w:rsidRPr="001900FD">
        <w:rPr>
          <w:rFonts w:ascii="Times New Roman" w:hAnsi="Times New Roman" w:cs="Times New Roman"/>
          <w:sz w:val="24"/>
          <w:szCs w:val="24"/>
          <w:lang w:val="ro-RO"/>
        </w:rPr>
        <w:t>ecunoaştere</w:t>
      </w:r>
      <w:r w:rsidR="009D6F42" w:rsidRPr="001900FD">
        <w:rPr>
          <w:rFonts w:ascii="Times New Roman" w:hAnsi="Times New Roman" w:cs="Times New Roman"/>
          <w:sz w:val="24"/>
          <w:szCs w:val="24"/>
          <w:lang w:val="ro-RO"/>
        </w:rPr>
        <w:t xml:space="preserve"> Academică</w:t>
      </w:r>
      <w:r w:rsidRPr="001900FD">
        <w:rPr>
          <w:rFonts w:ascii="Times New Roman" w:hAnsi="Times New Roman" w:cs="Times New Roman"/>
          <w:sz w:val="24"/>
          <w:szCs w:val="24"/>
          <w:lang w:val="ro-RO"/>
        </w:rPr>
        <w:t xml:space="preserve"> pot fi depuse la secretarul-şef al facultăţii în termen de maximum 3 zile lucrătoare de la data comunicării deciziei.</w:t>
      </w:r>
    </w:p>
    <w:p w:rsidR="00904678" w:rsidRPr="001900FD" w:rsidRDefault="00904678" w:rsidP="00FD459B">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(2) Secretarul şef convoacă, în termen de două zile lucrătoare, Comisia de contestaţii, stabilită conform Art. </w:t>
      </w:r>
      <w:r w:rsidR="00803C77" w:rsidRPr="001900FD">
        <w:rPr>
          <w:rFonts w:ascii="Times New Roman" w:hAnsi="Times New Roman" w:cs="Times New Roman"/>
          <w:sz w:val="24"/>
          <w:szCs w:val="24"/>
          <w:lang w:val="ro-RO"/>
        </w:rPr>
        <w:t>9</w:t>
      </w:r>
      <w:r w:rsidRPr="001900FD">
        <w:rPr>
          <w:rFonts w:ascii="Times New Roman" w:hAnsi="Times New Roman" w:cs="Times New Roman"/>
          <w:sz w:val="24"/>
          <w:szCs w:val="24"/>
          <w:lang w:val="ro-RO"/>
        </w:rPr>
        <w:t>.</w:t>
      </w:r>
    </w:p>
    <w:p w:rsidR="00904678" w:rsidRPr="001900FD" w:rsidRDefault="00904678" w:rsidP="00FD459B">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 xml:space="preserve">(3) Contestaţia se soluţioneză în termen de 3 zile lucrătoare de la data convocării Comisiei de contestaţii. Decizia Comisiei de contestaţii este definitivă şi se comunică solicitantului. </w:t>
      </w:r>
    </w:p>
    <w:p w:rsidR="00904678" w:rsidRPr="001900FD" w:rsidRDefault="00904678" w:rsidP="00904678">
      <w:pPr>
        <w:ind w:left="1440"/>
        <w:jc w:val="both"/>
        <w:rPr>
          <w:rFonts w:ascii="Times New Roman" w:hAnsi="Times New Roman" w:cs="Times New Roman"/>
          <w:sz w:val="24"/>
          <w:szCs w:val="24"/>
          <w:lang w:val="ro-RO"/>
        </w:rPr>
      </w:pPr>
    </w:p>
    <w:p w:rsidR="00260BF9" w:rsidRPr="001900FD" w:rsidRDefault="00904678" w:rsidP="00904678">
      <w:pPr>
        <w:rPr>
          <w:rFonts w:ascii="Times New Roman" w:hAnsi="Times New Roman" w:cs="Times New Roman"/>
          <w:sz w:val="24"/>
          <w:szCs w:val="24"/>
          <w:lang w:val="ro-RO"/>
        </w:rPr>
      </w:pPr>
      <w:r w:rsidRPr="001900FD">
        <w:rPr>
          <w:rFonts w:ascii="Times New Roman" w:hAnsi="Times New Roman" w:cs="Times New Roman"/>
          <w:b/>
          <w:sz w:val="24"/>
          <w:szCs w:val="24"/>
          <w:lang w:val="ro-RO"/>
        </w:rPr>
        <w:t>Art.3</w:t>
      </w:r>
      <w:r w:rsidR="00694537" w:rsidRPr="001900FD">
        <w:rPr>
          <w:rFonts w:ascii="Times New Roman" w:hAnsi="Times New Roman" w:cs="Times New Roman"/>
          <w:b/>
          <w:sz w:val="24"/>
          <w:szCs w:val="24"/>
          <w:lang w:val="ro-RO"/>
        </w:rPr>
        <w:t>5</w:t>
      </w:r>
      <w:r w:rsidRPr="001900FD">
        <w:rPr>
          <w:rFonts w:ascii="Times New Roman" w:hAnsi="Times New Roman" w:cs="Times New Roman"/>
          <w:b/>
          <w:sz w:val="24"/>
          <w:szCs w:val="24"/>
          <w:lang w:val="ro-RO"/>
        </w:rPr>
        <w:t>.</w:t>
      </w:r>
    </w:p>
    <w:p w:rsidR="00904678" w:rsidRPr="001900FD" w:rsidRDefault="00904678" w:rsidP="00A55EF1">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Prezentul Regulament s-a aprobat în şedinţa Senatului Universităţii POLITEHNICA din Bucureşti din data de…………………..şi intră în vigoare la data aprobării.</w:t>
      </w:r>
    </w:p>
    <w:p w:rsidR="00904678" w:rsidRPr="001900FD" w:rsidRDefault="00904678" w:rsidP="00904678">
      <w:pPr>
        <w:rPr>
          <w:lang w:val="ro-RO"/>
        </w:rPr>
      </w:pPr>
    </w:p>
    <w:p w:rsidR="00904678" w:rsidRPr="00765D12" w:rsidRDefault="00904678" w:rsidP="00765D12">
      <w:pPr>
        <w:widowControl/>
        <w:autoSpaceDE/>
        <w:autoSpaceDN/>
        <w:jc w:val="center"/>
        <w:rPr>
          <w:b/>
          <w:i/>
          <w:u w:val="single"/>
          <w:lang w:val="ro-RO"/>
        </w:rPr>
      </w:pPr>
      <w:r w:rsidRPr="001900FD">
        <w:rPr>
          <w:lang w:val="ro-RO"/>
        </w:rPr>
        <w:br w:type="page"/>
      </w:r>
      <w:r w:rsidRPr="001900FD">
        <w:rPr>
          <w:b/>
          <w:i/>
          <w:u w:val="single"/>
          <w:lang w:val="ro-RO"/>
        </w:rPr>
        <w:lastRenderedPageBreak/>
        <w:t>ANEXA 1  LA  REGULAMENT</w:t>
      </w:r>
      <w:r w:rsidR="00765D12">
        <w:rPr>
          <w:b/>
          <w:i/>
          <w:u w:val="single"/>
          <w:lang w:val="ro-RO"/>
        </w:rPr>
        <w:t xml:space="preserve"> </w:t>
      </w:r>
      <w:r w:rsidR="00765D12" w:rsidRPr="00765D12">
        <w:rPr>
          <w:b/>
          <w:i/>
          <w:lang w:val="ro-RO"/>
        </w:rPr>
        <w:t xml:space="preserve">- </w:t>
      </w:r>
      <w:r w:rsidRPr="001900FD">
        <w:rPr>
          <w:b/>
          <w:sz w:val="28"/>
          <w:szCs w:val="28"/>
          <w:lang w:val="ro-RO"/>
        </w:rPr>
        <w:t>GRILA DE ECHIVALARE A NOTELOR</w:t>
      </w:r>
    </w:p>
    <w:p w:rsidR="00904678" w:rsidRPr="001900FD" w:rsidRDefault="00904678" w:rsidP="00904678">
      <w:pPr>
        <w:rPr>
          <w:b/>
          <w:lang w:val="ro-RO"/>
        </w:rPr>
      </w:pPr>
    </w:p>
    <w:tbl>
      <w:tblPr>
        <w:tblW w:w="10676"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45"/>
        <w:gridCol w:w="1276"/>
        <w:gridCol w:w="1417"/>
        <w:gridCol w:w="1100"/>
        <w:gridCol w:w="1188"/>
        <w:gridCol w:w="1560"/>
        <w:gridCol w:w="1134"/>
      </w:tblGrid>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România</w:t>
            </w:r>
          </w:p>
        </w:tc>
        <w:tc>
          <w:tcPr>
            <w:tcW w:w="1445" w:type="dxa"/>
            <w:vAlign w:val="center"/>
          </w:tcPr>
          <w:p w:rsidR="00904678" w:rsidRPr="001900FD" w:rsidRDefault="00904678" w:rsidP="00A55EF1">
            <w:pPr>
              <w:jc w:val="center"/>
              <w:rPr>
                <w:b/>
                <w:sz w:val="20"/>
                <w:szCs w:val="20"/>
                <w:lang w:val="ro-RO"/>
              </w:rPr>
            </w:pPr>
            <w:r w:rsidRPr="001900FD">
              <w:rPr>
                <w:b/>
                <w:sz w:val="20"/>
                <w:szCs w:val="20"/>
                <w:lang w:val="ro-RO"/>
              </w:rPr>
              <w:t>1-4</w:t>
            </w:r>
          </w:p>
        </w:tc>
        <w:tc>
          <w:tcPr>
            <w:tcW w:w="1276" w:type="dxa"/>
            <w:vAlign w:val="center"/>
          </w:tcPr>
          <w:p w:rsidR="00904678" w:rsidRPr="001900FD" w:rsidRDefault="00904678" w:rsidP="00A55EF1">
            <w:pPr>
              <w:jc w:val="center"/>
              <w:rPr>
                <w:b/>
                <w:sz w:val="20"/>
                <w:szCs w:val="20"/>
                <w:lang w:val="ro-RO"/>
              </w:rPr>
            </w:pPr>
            <w:r w:rsidRPr="001900FD">
              <w:rPr>
                <w:b/>
                <w:sz w:val="20"/>
                <w:szCs w:val="20"/>
                <w:lang w:val="ro-RO"/>
              </w:rPr>
              <w:t>5</w:t>
            </w:r>
          </w:p>
        </w:tc>
        <w:tc>
          <w:tcPr>
            <w:tcW w:w="1417" w:type="dxa"/>
            <w:vAlign w:val="center"/>
          </w:tcPr>
          <w:p w:rsidR="00904678" w:rsidRPr="001900FD" w:rsidRDefault="00904678" w:rsidP="00A55EF1">
            <w:pPr>
              <w:jc w:val="center"/>
              <w:rPr>
                <w:b/>
                <w:sz w:val="20"/>
                <w:szCs w:val="20"/>
                <w:lang w:val="ro-RO"/>
              </w:rPr>
            </w:pPr>
            <w:r w:rsidRPr="001900FD">
              <w:rPr>
                <w:b/>
                <w:sz w:val="20"/>
                <w:szCs w:val="20"/>
                <w:lang w:val="ro-RO"/>
              </w:rPr>
              <w:t>6</w:t>
            </w:r>
          </w:p>
        </w:tc>
        <w:tc>
          <w:tcPr>
            <w:tcW w:w="1100" w:type="dxa"/>
            <w:vAlign w:val="center"/>
          </w:tcPr>
          <w:p w:rsidR="00904678" w:rsidRPr="001900FD" w:rsidRDefault="00904678" w:rsidP="00A55EF1">
            <w:pPr>
              <w:jc w:val="center"/>
              <w:rPr>
                <w:b/>
                <w:sz w:val="20"/>
                <w:szCs w:val="20"/>
                <w:lang w:val="ro-RO"/>
              </w:rPr>
            </w:pPr>
            <w:r w:rsidRPr="001900FD">
              <w:rPr>
                <w:b/>
                <w:sz w:val="20"/>
                <w:szCs w:val="20"/>
                <w:lang w:val="ro-RO"/>
              </w:rPr>
              <w:t>7</w:t>
            </w:r>
          </w:p>
        </w:tc>
        <w:tc>
          <w:tcPr>
            <w:tcW w:w="1188" w:type="dxa"/>
            <w:vAlign w:val="center"/>
          </w:tcPr>
          <w:p w:rsidR="00904678" w:rsidRPr="001900FD" w:rsidRDefault="00904678" w:rsidP="00A55EF1">
            <w:pPr>
              <w:jc w:val="center"/>
              <w:rPr>
                <w:b/>
                <w:sz w:val="20"/>
                <w:szCs w:val="20"/>
                <w:lang w:val="ro-RO"/>
              </w:rPr>
            </w:pPr>
            <w:r w:rsidRPr="001900FD">
              <w:rPr>
                <w:b/>
                <w:sz w:val="20"/>
                <w:szCs w:val="20"/>
                <w:lang w:val="ro-RO"/>
              </w:rPr>
              <w:t>8</w:t>
            </w:r>
          </w:p>
        </w:tc>
        <w:tc>
          <w:tcPr>
            <w:tcW w:w="1560" w:type="dxa"/>
            <w:vAlign w:val="center"/>
          </w:tcPr>
          <w:p w:rsidR="00904678" w:rsidRPr="001900FD" w:rsidRDefault="00904678" w:rsidP="00A55EF1">
            <w:pPr>
              <w:jc w:val="center"/>
              <w:rPr>
                <w:b/>
                <w:sz w:val="20"/>
                <w:szCs w:val="20"/>
                <w:lang w:val="ro-RO"/>
              </w:rPr>
            </w:pPr>
            <w:r w:rsidRPr="001900FD">
              <w:rPr>
                <w:b/>
                <w:sz w:val="20"/>
                <w:szCs w:val="20"/>
                <w:lang w:val="ro-RO"/>
              </w:rPr>
              <w:t>9</w:t>
            </w:r>
          </w:p>
        </w:tc>
        <w:tc>
          <w:tcPr>
            <w:tcW w:w="1134" w:type="dxa"/>
            <w:vAlign w:val="center"/>
          </w:tcPr>
          <w:p w:rsidR="00904678" w:rsidRPr="001900FD" w:rsidRDefault="00904678" w:rsidP="00A55EF1">
            <w:pPr>
              <w:jc w:val="center"/>
              <w:rPr>
                <w:b/>
                <w:sz w:val="20"/>
                <w:szCs w:val="20"/>
                <w:lang w:val="ro-RO"/>
              </w:rPr>
            </w:pPr>
            <w:r w:rsidRPr="001900FD">
              <w:rPr>
                <w:b/>
                <w:sz w:val="20"/>
                <w:szCs w:val="20"/>
                <w:lang w:val="ro-RO"/>
              </w:rPr>
              <w:t>10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Scala ECTS</w:t>
            </w:r>
          </w:p>
        </w:tc>
        <w:tc>
          <w:tcPr>
            <w:tcW w:w="1445" w:type="dxa"/>
            <w:vAlign w:val="center"/>
          </w:tcPr>
          <w:p w:rsidR="00904678" w:rsidRPr="001900FD" w:rsidRDefault="00904678" w:rsidP="00A55EF1">
            <w:pPr>
              <w:jc w:val="center"/>
              <w:rPr>
                <w:b/>
                <w:sz w:val="20"/>
                <w:szCs w:val="20"/>
                <w:lang w:val="ro-RO"/>
              </w:rPr>
            </w:pPr>
            <w:r w:rsidRPr="001900FD">
              <w:rPr>
                <w:b/>
                <w:sz w:val="20"/>
                <w:szCs w:val="20"/>
                <w:lang w:val="ro-RO"/>
              </w:rPr>
              <w:t>FX, F</w:t>
            </w:r>
          </w:p>
          <w:p w:rsidR="00904678" w:rsidRPr="001900FD" w:rsidRDefault="00904678" w:rsidP="00A55EF1">
            <w:pPr>
              <w:jc w:val="center"/>
              <w:rPr>
                <w:b/>
                <w:sz w:val="20"/>
                <w:szCs w:val="20"/>
                <w:lang w:val="ro-RO"/>
              </w:rPr>
            </w:pPr>
            <w:r w:rsidRPr="001900FD">
              <w:rPr>
                <w:b/>
                <w:sz w:val="20"/>
                <w:szCs w:val="20"/>
                <w:lang w:val="ro-RO"/>
              </w:rPr>
              <w:t>Fail</w:t>
            </w:r>
          </w:p>
        </w:tc>
        <w:tc>
          <w:tcPr>
            <w:tcW w:w="1276" w:type="dxa"/>
            <w:vAlign w:val="center"/>
          </w:tcPr>
          <w:p w:rsidR="00904678" w:rsidRPr="001900FD" w:rsidRDefault="00904678" w:rsidP="00A55EF1">
            <w:pPr>
              <w:jc w:val="center"/>
              <w:rPr>
                <w:b/>
                <w:sz w:val="20"/>
                <w:szCs w:val="20"/>
                <w:lang w:val="ro-RO"/>
              </w:rPr>
            </w:pPr>
            <w:r w:rsidRPr="001900FD">
              <w:rPr>
                <w:b/>
                <w:sz w:val="20"/>
                <w:szCs w:val="20"/>
                <w:lang w:val="ro-RO"/>
              </w:rPr>
              <w:t>E</w:t>
            </w:r>
          </w:p>
          <w:p w:rsidR="00904678" w:rsidRPr="001900FD" w:rsidRDefault="00904678" w:rsidP="00A55EF1">
            <w:pPr>
              <w:jc w:val="center"/>
              <w:rPr>
                <w:b/>
                <w:sz w:val="20"/>
                <w:szCs w:val="20"/>
                <w:lang w:val="ro-RO"/>
              </w:rPr>
            </w:pPr>
            <w:r w:rsidRPr="001900FD">
              <w:rPr>
                <w:b/>
                <w:sz w:val="20"/>
                <w:szCs w:val="20"/>
                <w:lang w:val="ro-RO"/>
              </w:rPr>
              <w:t>Sufficient</w:t>
            </w:r>
          </w:p>
        </w:tc>
        <w:tc>
          <w:tcPr>
            <w:tcW w:w="1417" w:type="dxa"/>
            <w:vAlign w:val="center"/>
          </w:tcPr>
          <w:p w:rsidR="00904678" w:rsidRPr="001900FD" w:rsidRDefault="00904678" w:rsidP="00A55EF1">
            <w:pPr>
              <w:jc w:val="center"/>
              <w:rPr>
                <w:b/>
                <w:sz w:val="20"/>
                <w:szCs w:val="20"/>
                <w:lang w:val="ro-RO"/>
              </w:rPr>
            </w:pPr>
            <w:r w:rsidRPr="001900FD">
              <w:rPr>
                <w:b/>
                <w:sz w:val="20"/>
                <w:szCs w:val="20"/>
                <w:lang w:val="ro-RO"/>
              </w:rPr>
              <w:t>D</w:t>
            </w:r>
          </w:p>
          <w:p w:rsidR="00904678" w:rsidRPr="001900FD" w:rsidRDefault="00904678" w:rsidP="00A55EF1">
            <w:pPr>
              <w:jc w:val="center"/>
              <w:rPr>
                <w:b/>
                <w:sz w:val="20"/>
                <w:szCs w:val="20"/>
                <w:lang w:val="ro-RO"/>
              </w:rPr>
            </w:pPr>
            <w:r w:rsidRPr="001900FD">
              <w:rPr>
                <w:b/>
                <w:sz w:val="20"/>
                <w:szCs w:val="20"/>
                <w:lang w:val="ro-RO"/>
              </w:rPr>
              <w:t>Satisfactory</w:t>
            </w:r>
          </w:p>
        </w:tc>
        <w:tc>
          <w:tcPr>
            <w:tcW w:w="1100" w:type="dxa"/>
            <w:vAlign w:val="center"/>
          </w:tcPr>
          <w:p w:rsidR="00904678" w:rsidRPr="001900FD" w:rsidRDefault="00904678" w:rsidP="00A55EF1">
            <w:pPr>
              <w:jc w:val="center"/>
              <w:rPr>
                <w:b/>
                <w:sz w:val="20"/>
                <w:szCs w:val="20"/>
                <w:lang w:val="ro-RO"/>
              </w:rPr>
            </w:pPr>
            <w:r w:rsidRPr="001900FD">
              <w:rPr>
                <w:b/>
                <w:sz w:val="20"/>
                <w:szCs w:val="20"/>
                <w:lang w:val="ro-RO"/>
              </w:rPr>
              <w:t>C</w:t>
            </w:r>
          </w:p>
          <w:p w:rsidR="00904678" w:rsidRPr="001900FD" w:rsidRDefault="00904678" w:rsidP="00A55EF1">
            <w:pPr>
              <w:jc w:val="center"/>
              <w:rPr>
                <w:b/>
                <w:sz w:val="20"/>
                <w:szCs w:val="20"/>
                <w:lang w:val="ro-RO"/>
              </w:rPr>
            </w:pPr>
            <w:r w:rsidRPr="001900FD">
              <w:rPr>
                <w:b/>
                <w:sz w:val="20"/>
                <w:szCs w:val="20"/>
                <w:lang w:val="ro-RO"/>
              </w:rPr>
              <w:t>Good</w:t>
            </w:r>
          </w:p>
        </w:tc>
        <w:tc>
          <w:tcPr>
            <w:tcW w:w="1188" w:type="dxa"/>
            <w:vAlign w:val="center"/>
          </w:tcPr>
          <w:p w:rsidR="00904678" w:rsidRPr="001900FD" w:rsidRDefault="00904678" w:rsidP="00A55EF1">
            <w:pPr>
              <w:jc w:val="center"/>
              <w:rPr>
                <w:b/>
                <w:sz w:val="20"/>
                <w:szCs w:val="20"/>
                <w:lang w:val="ro-RO"/>
              </w:rPr>
            </w:pPr>
            <w:r w:rsidRPr="001900FD">
              <w:rPr>
                <w:b/>
                <w:sz w:val="20"/>
                <w:szCs w:val="20"/>
                <w:lang w:val="ro-RO"/>
              </w:rPr>
              <w:t>C</w:t>
            </w:r>
          </w:p>
          <w:p w:rsidR="00904678" w:rsidRPr="001900FD" w:rsidRDefault="00904678" w:rsidP="00A55EF1">
            <w:pPr>
              <w:jc w:val="center"/>
              <w:rPr>
                <w:b/>
                <w:sz w:val="20"/>
                <w:szCs w:val="20"/>
                <w:lang w:val="ro-RO"/>
              </w:rPr>
            </w:pPr>
            <w:r w:rsidRPr="001900FD">
              <w:rPr>
                <w:b/>
                <w:sz w:val="20"/>
                <w:szCs w:val="20"/>
                <w:lang w:val="ro-RO"/>
              </w:rPr>
              <w:t>Good</w:t>
            </w:r>
          </w:p>
        </w:tc>
        <w:tc>
          <w:tcPr>
            <w:tcW w:w="1560" w:type="dxa"/>
            <w:vAlign w:val="center"/>
          </w:tcPr>
          <w:p w:rsidR="00904678" w:rsidRPr="001900FD" w:rsidRDefault="00904678" w:rsidP="00A55EF1">
            <w:pPr>
              <w:jc w:val="center"/>
              <w:rPr>
                <w:b/>
                <w:sz w:val="20"/>
                <w:szCs w:val="20"/>
                <w:lang w:val="ro-RO"/>
              </w:rPr>
            </w:pPr>
            <w:r w:rsidRPr="001900FD">
              <w:rPr>
                <w:b/>
                <w:sz w:val="20"/>
                <w:szCs w:val="20"/>
                <w:lang w:val="ro-RO"/>
              </w:rPr>
              <w:t>B</w:t>
            </w:r>
          </w:p>
          <w:p w:rsidR="00904678" w:rsidRPr="001900FD" w:rsidRDefault="00904678" w:rsidP="00A55EF1">
            <w:pPr>
              <w:jc w:val="center"/>
              <w:rPr>
                <w:b/>
                <w:sz w:val="20"/>
                <w:szCs w:val="20"/>
                <w:lang w:val="ro-RO"/>
              </w:rPr>
            </w:pPr>
            <w:r w:rsidRPr="001900FD">
              <w:rPr>
                <w:b/>
                <w:sz w:val="20"/>
                <w:szCs w:val="20"/>
                <w:lang w:val="ro-RO"/>
              </w:rPr>
              <w:t>Very Good</w:t>
            </w:r>
          </w:p>
        </w:tc>
        <w:tc>
          <w:tcPr>
            <w:tcW w:w="1134" w:type="dxa"/>
            <w:vAlign w:val="center"/>
          </w:tcPr>
          <w:p w:rsidR="00904678" w:rsidRPr="001900FD" w:rsidRDefault="00904678" w:rsidP="00A55EF1">
            <w:pPr>
              <w:jc w:val="center"/>
              <w:rPr>
                <w:b/>
                <w:sz w:val="20"/>
                <w:szCs w:val="20"/>
                <w:lang w:val="ro-RO"/>
              </w:rPr>
            </w:pPr>
            <w:r w:rsidRPr="001900FD">
              <w:rPr>
                <w:b/>
                <w:sz w:val="20"/>
                <w:szCs w:val="20"/>
                <w:lang w:val="ro-RO"/>
              </w:rPr>
              <w:t>A</w:t>
            </w:r>
          </w:p>
          <w:p w:rsidR="00904678" w:rsidRPr="001900FD" w:rsidRDefault="00904678" w:rsidP="00A55EF1">
            <w:pPr>
              <w:jc w:val="center"/>
              <w:rPr>
                <w:b/>
                <w:sz w:val="20"/>
                <w:szCs w:val="20"/>
                <w:lang w:val="ro-RO"/>
              </w:rPr>
            </w:pPr>
            <w:r w:rsidRPr="001900FD">
              <w:rPr>
                <w:b/>
                <w:sz w:val="20"/>
                <w:szCs w:val="20"/>
                <w:lang w:val="ro-RO"/>
              </w:rPr>
              <w:t>Excellent</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Austria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5</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4</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3</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2</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1</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Albania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1-4</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5</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6</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7</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8</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9</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10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Bulgaria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2</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3</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4</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5</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6</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Belgia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7,8,9</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10</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11</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12</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13,14</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15,16,17</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18,19,20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R.P. Chineză</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0-59.99</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60-69.99</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70-74.99</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75-79.99</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80-84.99</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85-89.99</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90-100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Danemarca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0,3,5</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6</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7</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8</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9</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10</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11,13</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Confederaţia Elveţiană</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&lt;3,5</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3,5-3,99</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4,0-4,49</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4,5-4,99</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5,0-5,49</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5,5</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5,51-6,0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Finlanda</w:t>
            </w:r>
          </w:p>
        </w:tc>
        <w:tc>
          <w:tcPr>
            <w:tcW w:w="1445" w:type="dxa"/>
            <w:vAlign w:val="center"/>
          </w:tcPr>
          <w:p w:rsidR="00904678" w:rsidRPr="001900FD" w:rsidRDefault="00904678" w:rsidP="00A55EF1">
            <w:pPr>
              <w:jc w:val="center"/>
              <w:rPr>
                <w:sz w:val="20"/>
                <w:szCs w:val="20"/>
                <w:lang w:val="ro-RO"/>
              </w:rPr>
            </w:pP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1</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1½</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2</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2½</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3</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Franţa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Insuffisant</w:t>
            </w:r>
          </w:p>
          <w:p w:rsidR="00904678" w:rsidRPr="001900FD" w:rsidRDefault="00904678" w:rsidP="00A55EF1">
            <w:pPr>
              <w:jc w:val="center"/>
              <w:rPr>
                <w:sz w:val="20"/>
                <w:szCs w:val="20"/>
                <w:lang w:val="ro-RO"/>
              </w:rPr>
            </w:pPr>
            <w:r w:rsidRPr="001900FD">
              <w:rPr>
                <w:sz w:val="20"/>
                <w:szCs w:val="20"/>
                <w:lang w:val="ro-RO"/>
              </w:rPr>
              <w:t>(&lt;10)</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Passable</w:t>
            </w:r>
          </w:p>
          <w:p w:rsidR="00904678" w:rsidRPr="001900FD" w:rsidRDefault="00904678" w:rsidP="00A55EF1">
            <w:pPr>
              <w:jc w:val="center"/>
              <w:rPr>
                <w:sz w:val="20"/>
                <w:szCs w:val="20"/>
                <w:lang w:val="ro-RO"/>
              </w:rPr>
            </w:pPr>
            <w:r w:rsidRPr="001900FD">
              <w:rPr>
                <w:sz w:val="20"/>
                <w:szCs w:val="20"/>
                <w:lang w:val="ro-RO"/>
              </w:rPr>
              <w:t>(10-10,49)</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Passable</w:t>
            </w:r>
          </w:p>
          <w:p w:rsidR="00904678" w:rsidRPr="001900FD" w:rsidRDefault="00904678" w:rsidP="00A55EF1">
            <w:pPr>
              <w:jc w:val="center"/>
              <w:rPr>
                <w:sz w:val="20"/>
                <w:szCs w:val="20"/>
                <w:lang w:val="ro-RO"/>
              </w:rPr>
            </w:pPr>
            <w:r w:rsidRPr="001900FD">
              <w:rPr>
                <w:sz w:val="20"/>
                <w:szCs w:val="20"/>
                <w:lang w:val="ro-RO"/>
              </w:rPr>
              <w:t>(10,5-10,99)</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Assez bien</w:t>
            </w:r>
          </w:p>
          <w:p w:rsidR="00904678" w:rsidRPr="001900FD" w:rsidRDefault="00904678" w:rsidP="00A55EF1">
            <w:pPr>
              <w:jc w:val="center"/>
              <w:rPr>
                <w:sz w:val="20"/>
                <w:szCs w:val="20"/>
                <w:lang w:val="ro-RO"/>
              </w:rPr>
            </w:pPr>
            <w:r w:rsidRPr="001900FD">
              <w:rPr>
                <w:sz w:val="20"/>
                <w:szCs w:val="20"/>
                <w:lang w:val="ro-RO"/>
              </w:rPr>
              <w:t>(11,0-11,49)</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Assez bien</w:t>
            </w:r>
          </w:p>
          <w:p w:rsidR="00904678" w:rsidRPr="001900FD" w:rsidRDefault="00904678" w:rsidP="00A55EF1">
            <w:pPr>
              <w:jc w:val="center"/>
              <w:rPr>
                <w:sz w:val="20"/>
                <w:szCs w:val="20"/>
                <w:lang w:val="ro-RO"/>
              </w:rPr>
            </w:pPr>
            <w:r w:rsidRPr="001900FD">
              <w:rPr>
                <w:sz w:val="20"/>
                <w:szCs w:val="20"/>
                <w:lang w:val="ro-RO"/>
              </w:rPr>
              <w:t>(11,5-12,49)</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Bien</w:t>
            </w:r>
          </w:p>
          <w:p w:rsidR="00904678" w:rsidRPr="001900FD" w:rsidRDefault="00904678" w:rsidP="00A55EF1">
            <w:pPr>
              <w:jc w:val="center"/>
              <w:rPr>
                <w:sz w:val="20"/>
                <w:szCs w:val="20"/>
                <w:lang w:val="ro-RO"/>
              </w:rPr>
            </w:pPr>
            <w:r w:rsidRPr="001900FD">
              <w:rPr>
                <w:sz w:val="20"/>
                <w:szCs w:val="20"/>
                <w:lang w:val="ro-RO"/>
              </w:rPr>
              <w:t>(12,5-14,49)</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Tres bien</w:t>
            </w:r>
          </w:p>
          <w:p w:rsidR="00904678" w:rsidRPr="001900FD" w:rsidRDefault="00904678" w:rsidP="00A55EF1">
            <w:pPr>
              <w:jc w:val="center"/>
              <w:rPr>
                <w:sz w:val="20"/>
                <w:szCs w:val="20"/>
                <w:lang w:val="ro-RO"/>
              </w:rPr>
            </w:pPr>
            <w:r w:rsidRPr="001900FD">
              <w:rPr>
                <w:sz w:val="20"/>
                <w:szCs w:val="20"/>
                <w:lang w:val="ro-RO"/>
              </w:rPr>
              <w:t>(14,5-20,0)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R.F. Germania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&gt;4,01</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4,00-3,51</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3,5-3,01</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3,00-2,51</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2,50-2,01</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2,00-1,51</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1,50-1,00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R. Elenă</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2,3,4</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5</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6</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7</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8,9</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10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Iordania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0-49.99</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50-50.99</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51-59.99</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60-69.99</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70-79.99</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80-89.99</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90-100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Irlanda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&lt;25%</w:t>
            </w:r>
          </w:p>
          <w:p w:rsidR="00904678" w:rsidRPr="001900FD" w:rsidRDefault="00904678" w:rsidP="00A55EF1">
            <w:pPr>
              <w:jc w:val="center"/>
              <w:rPr>
                <w:sz w:val="20"/>
                <w:szCs w:val="20"/>
                <w:lang w:val="ro-RO"/>
              </w:rPr>
            </w:pPr>
            <w:r w:rsidRPr="001900FD">
              <w:rPr>
                <w:sz w:val="20"/>
                <w:szCs w:val="20"/>
                <w:lang w:val="ro-RO"/>
              </w:rPr>
              <w:t>Fail</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25%-39%</w:t>
            </w:r>
          </w:p>
          <w:p w:rsidR="00904678" w:rsidRPr="001900FD" w:rsidRDefault="00904678" w:rsidP="00A55EF1">
            <w:pPr>
              <w:jc w:val="center"/>
              <w:rPr>
                <w:sz w:val="20"/>
                <w:szCs w:val="20"/>
                <w:lang w:val="ro-RO"/>
              </w:rPr>
            </w:pPr>
            <w:r w:rsidRPr="001900FD">
              <w:rPr>
                <w:sz w:val="20"/>
                <w:szCs w:val="20"/>
                <w:lang w:val="ro-RO"/>
              </w:rPr>
              <w:t>Pass</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40%-44%</w:t>
            </w:r>
          </w:p>
          <w:p w:rsidR="00904678" w:rsidRPr="001900FD" w:rsidRDefault="00904678" w:rsidP="00A55EF1">
            <w:pPr>
              <w:jc w:val="center"/>
              <w:rPr>
                <w:sz w:val="20"/>
                <w:szCs w:val="20"/>
                <w:lang w:val="ro-RO"/>
              </w:rPr>
            </w:pPr>
            <w:r w:rsidRPr="001900FD">
              <w:rPr>
                <w:sz w:val="20"/>
                <w:szCs w:val="20"/>
                <w:lang w:val="ro-RO"/>
              </w:rPr>
              <w:t>3</w:t>
            </w:r>
            <w:r w:rsidRPr="001900FD">
              <w:rPr>
                <w:sz w:val="20"/>
                <w:szCs w:val="20"/>
                <w:vertAlign w:val="superscript"/>
                <w:lang w:val="ro-RO"/>
              </w:rPr>
              <w:t>rd</w:t>
            </w:r>
            <w:r w:rsidRPr="001900FD">
              <w:rPr>
                <w:sz w:val="20"/>
                <w:szCs w:val="20"/>
                <w:lang w:val="ro-RO"/>
              </w:rPr>
              <w:t xml:space="preserve"> pass</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45%-54%</w:t>
            </w:r>
          </w:p>
          <w:p w:rsidR="00904678" w:rsidRPr="001900FD" w:rsidRDefault="00904678" w:rsidP="00A55EF1">
            <w:pPr>
              <w:jc w:val="center"/>
              <w:rPr>
                <w:sz w:val="20"/>
                <w:szCs w:val="20"/>
                <w:lang w:val="ro-RO"/>
              </w:rPr>
            </w:pPr>
            <w:r w:rsidRPr="001900FD">
              <w:rPr>
                <w:sz w:val="20"/>
                <w:szCs w:val="20"/>
                <w:lang w:val="ro-RO"/>
              </w:rPr>
              <w:t>-</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55%-69%</w:t>
            </w:r>
          </w:p>
          <w:p w:rsidR="00904678" w:rsidRPr="001900FD" w:rsidRDefault="00904678" w:rsidP="00A55EF1">
            <w:pPr>
              <w:jc w:val="center"/>
              <w:rPr>
                <w:sz w:val="20"/>
                <w:szCs w:val="20"/>
                <w:lang w:val="ro-RO"/>
              </w:rPr>
            </w:pPr>
            <w:r w:rsidRPr="001900FD">
              <w:rPr>
                <w:sz w:val="20"/>
                <w:szCs w:val="20"/>
                <w:lang w:val="ro-RO"/>
              </w:rPr>
              <w:t>2</w:t>
            </w:r>
            <w:r w:rsidRPr="001900FD">
              <w:rPr>
                <w:sz w:val="20"/>
                <w:szCs w:val="20"/>
                <w:vertAlign w:val="superscript"/>
                <w:lang w:val="ro-RO"/>
              </w:rPr>
              <w:t>nd</w:t>
            </w:r>
            <w:r w:rsidRPr="001900FD">
              <w:rPr>
                <w:sz w:val="20"/>
                <w:szCs w:val="20"/>
                <w:lang w:val="ro-RO"/>
              </w:rPr>
              <w:t>/II</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70%-84%</w:t>
            </w:r>
          </w:p>
          <w:p w:rsidR="00904678" w:rsidRPr="001900FD" w:rsidRDefault="00904678" w:rsidP="00A55EF1">
            <w:pPr>
              <w:jc w:val="center"/>
              <w:rPr>
                <w:sz w:val="20"/>
                <w:szCs w:val="20"/>
                <w:lang w:val="ro-RO"/>
              </w:rPr>
            </w:pPr>
            <w:r w:rsidRPr="001900FD">
              <w:rPr>
                <w:sz w:val="20"/>
                <w:szCs w:val="20"/>
                <w:lang w:val="ro-RO"/>
              </w:rPr>
              <w:t>2</w:t>
            </w:r>
            <w:r w:rsidRPr="001900FD">
              <w:rPr>
                <w:sz w:val="20"/>
                <w:szCs w:val="20"/>
                <w:vertAlign w:val="superscript"/>
                <w:lang w:val="ro-RO"/>
              </w:rPr>
              <w:t>nd</w:t>
            </w:r>
            <w:r w:rsidRPr="001900FD">
              <w:rPr>
                <w:sz w:val="20"/>
                <w:szCs w:val="20"/>
                <w:lang w:val="ro-RO"/>
              </w:rPr>
              <w:t>/I</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85%-100%</w:t>
            </w:r>
          </w:p>
          <w:p w:rsidR="00904678" w:rsidRPr="001900FD" w:rsidRDefault="00904678" w:rsidP="00A55EF1">
            <w:pPr>
              <w:jc w:val="center"/>
              <w:rPr>
                <w:sz w:val="20"/>
                <w:szCs w:val="20"/>
                <w:lang w:val="ro-RO"/>
              </w:rPr>
            </w:pPr>
            <w:r w:rsidRPr="001900FD">
              <w:rPr>
                <w:sz w:val="20"/>
                <w:szCs w:val="20"/>
                <w:lang w:val="ro-RO"/>
              </w:rPr>
              <w:t>I</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Islanda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Fail</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5</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6</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7</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8</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9,10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Italia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≤17</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18,19</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20-22</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23-24</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25-26</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27,28</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29,30,30+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Marea Britanie</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0-39%</w:t>
            </w:r>
          </w:p>
          <w:p w:rsidR="00904678" w:rsidRPr="001900FD" w:rsidRDefault="00904678" w:rsidP="00A55EF1">
            <w:pPr>
              <w:jc w:val="center"/>
              <w:rPr>
                <w:sz w:val="20"/>
                <w:szCs w:val="20"/>
                <w:lang w:val="ro-RO"/>
              </w:rPr>
            </w:pPr>
            <w:r w:rsidRPr="001900FD">
              <w:rPr>
                <w:sz w:val="20"/>
                <w:szCs w:val="20"/>
                <w:lang w:val="ro-RO"/>
              </w:rPr>
              <w:t>(Fail)</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40-49%</w:t>
            </w:r>
          </w:p>
          <w:p w:rsidR="00904678" w:rsidRPr="001900FD" w:rsidRDefault="00904678" w:rsidP="00A55EF1">
            <w:pPr>
              <w:jc w:val="center"/>
              <w:rPr>
                <w:sz w:val="20"/>
                <w:szCs w:val="20"/>
                <w:lang w:val="ro-RO"/>
              </w:rPr>
            </w:pPr>
            <w:r w:rsidRPr="001900FD">
              <w:rPr>
                <w:sz w:val="20"/>
                <w:szCs w:val="20"/>
                <w:lang w:val="ro-RO"/>
              </w:rPr>
              <w:t>(3rd)</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50-54%</w:t>
            </w:r>
          </w:p>
          <w:p w:rsidR="00904678" w:rsidRPr="001900FD" w:rsidRDefault="00904678" w:rsidP="00A55EF1">
            <w:pPr>
              <w:jc w:val="center"/>
              <w:rPr>
                <w:sz w:val="20"/>
                <w:szCs w:val="20"/>
                <w:lang w:val="ro-RO"/>
              </w:rPr>
            </w:pPr>
            <w:r w:rsidRPr="001900FD">
              <w:rPr>
                <w:sz w:val="20"/>
                <w:szCs w:val="20"/>
                <w:lang w:val="ro-RO"/>
              </w:rPr>
              <w:t>(2ii)</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55-59%</w:t>
            </w:r>
          </w:p>
          <w:p w:rsidR="00904678" w:rsidRPr="001900FD" w:rsidRDefault="00904678" w:rsidP="00A55EF1">
            <w:pPr>
              <w:jc w:val="center"/>
              <w:rPr>
                <w:sz w:val="20"/>
                <w:szCs w:val="20"/>
                <w:lang w:val="ro-RO"/>
              </w:rPr>
            </w:pPr>
            <w:r w:rsidRPr="001900FD">
              <w:rPr>
                <w:sz w:val="20"/>
                <w:szCs w:val="20"/>
                <w:lang w:val="ro-RO"/>
              </w:rPr>
              <w:t>(2ii)</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60-64%</w:t>
            </w:r>
          </w:p>
          <w:p w:rsidR="00904678" w:rsidRPr="001900FD" w:rsidRDefault="00904678" w:rsidP="00A55EF1">
            <w:pPr>
              <w:jc w:val="center"/>
              <w:rPr>
                <w:sz w:val="20"/>
                <w:szCs w:val="20"/>
                <w:lang w:val="ro-RO"/>
              </w:rPr>
            </w:pPr>
            <w:r w:rsidRPr="001900FD">
              <w:rPr>
                <w:sz w:val="20"/>
                <w:szCs w:val="20"/>
                <w:lang w:val="ro-RO"/>
              </w:rPr>
              <w:t>(2i)</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65-69%</w:t>
            </w:r>
          </w:p>
          <w:p w:rsidR="00904678" w:rsidRPr="001900FD" w:rsidRDefault="00904678" w:rsidP="00A55EF1">
            <w:pPr>
              <w:jc w:val="center"/>
              <w:rPr>
                <w:sz w:val="20"/>
                <w:szCs w:val="20"/>
                <w:lang w:val="ro-RO"/>
              </w:rPr>
            </w:pPr>
            <w:r w:rsidRPr="001900FD">
              <w:rPr>
                <w:sz w:val="20"/>
                <w:szCs w:val="20"/>
                <w:lang w:val="ro-RO"/>
              </w:rPr>
              <w:t>(Upper 2i)</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70-100%</w:t>
            </w:r>
          </w:p>
          <w:p w:rsidR="00904678" w:rsidRPr="001900FD" w:rsidRDefault="00904678" w:rsidP="00A55EF1">
            <w:pPr>
              <w:jc w:val="center"/>
              <w:rPr>
                <w:sz w:val="20"/>
                <w:szCs w:val="20"/>
                <w:lang w:val="ro-RO"/>
              </w:rPr>
            </w:pPr>
            <w:r w:rsidRPr="001900FD">
              <w:rPr>
                <w:sz w:val="20"/>
                <w:szCs w:val="20"/>
                <w:lang w:val="ro-RO"/>
              </w:rPr>
              <w:t>(First)</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Norvegia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6-4,1</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4-3,5</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3,5-3</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2,9-2,4</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2,3-2</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1,9-1,2</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1,1-1,0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Olanda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1-4</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5</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6</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7</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8</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9,10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Polonia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&lt;3,00</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3,00</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3,01-3,49</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3,50-3,99</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4,00-4,49</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4,50-5,00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Portugalia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1-9</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10</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11,12</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13</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14,15</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16,17</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18,19,20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Slovacia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5</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4</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3</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2</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1</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Slovenia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1-5.9</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6</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6.1-6.9</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7-7.5</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7.6-7.9</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8-9.9</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10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Spania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&lt;5</w:t>
            </w:r>
          </w:p>
          <w:p w:rsidR="00904678" w:rsidRPr="001900FD" w:rsidRDefault="00904678" w:rsidP="00A55EF1">
            <w:pPr>
              <w:jc w:val="center"/>
              <w:rPr>
                <w:sz w:val="20"/>
                <w:szCs w:val="20"/>
                <w:lang w:val="ro-RO"/>
              </w:rPr>
            </w:pPr>
            <w:r w:rsidRPr="001900FD">
              <w:rPr>
                <w:sz w:val="20"/>
                <w:szCs w:val="20"/>
                <w:lang w:val="ro-RO"/>
              </w:rPr>
              <w:t>Suspenso</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5,0-5,49</w:t>
            </w:r>
          </w:p>
          <w:p w:rsidR="00904678" w:rsidRPr="001900FD" w:rsidRDefault="00904678" w:rsidP="00A55EF1">
            <w:pPr>
              <w:jc w:val="center"/>
              <w:rPr>
                <w:sz w:val="20"/>
                <w:szCs w:val="20"/>
                <w:lang w:val="ro-RO"/>
              </w:rPr>
            </w:pPr>
            <w:r w:rsidRPr="001900FD">
              <w:rPr>
                <w:sz w:val="20"/>
                <w:szCs w:val="20"/>
                <w:lang w:val="ro-RO"/>
              </w:rPr>
              <w:t>Aprobado</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5,5-6,49</w:t>
            </w:r>
          </w:p>
          <w:p w:rsidR="00904678" w:rsidRPr="001900FD" w:rsidRDefault="00904678" w:rsidP="00A55EF1">
            <w:pPr>
              <w:jc w:val="center"/>
              <w:rPr>
                <w:sz w:val="20"/>
                <w:szCs w:val="20"/>
                <w:lang w:val="ro-RO"/>
              </w:rPr>
            </w:pPr>
            <w:r w:rsidRPr="001900FD">
              <w:rPr>
                <w:sz w:val="20"/>
                <w:szCs w:val="20"/>
                <w:lang w:val="ro-RO"/>
              </w:rPr>
              <w:t>Aprobado</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6,5-7,49</w:t>
            </w:r>
          </w:p>
          <w:p w:rsidR="00904678" w:rsidRPr="001900FD" w:rsidRDefault="00904678" w:rsidP="00A55EF1">
            <w:pPr>
              <w:jc w:val="center"/>
              <w:rPr>
                <w:sz w:val="20"/>
                <w:szCs w:val="20"/>
                <w:lang w:val="ro-RO"/>
              </w:rPr>
            </w:pPr>
            <w:r w:rsidRPr="001900FD">
              <w:rPr>
                <w:sz w:val="20"/>
                <w:szCs w:val="20"/>
                <w:lang w:val="ro-RO"/>
              </w:rPr>
              <w:t>Notable</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7,5-8,49</w:t>
            </w:r>
          </w:p>
          <w:p w:rsidR="00904678" w:rsidRPr="001900FD" w:rsidRDefault="00904678" w:rsidP="00A55EF1">
            <w:pPr>
              <w:jc w:val="center"/>
              <w:rPr>
                <w:sz w:val="20"/>
                <w:szCs w:val="20"/>
                <w:lang w:val="ro-RO"/>
              </w:rPr>
            </w:pPr>
            <w:r w:rsidRPr="001900FD">
              <w:rPr>
                <w:sz w:val="20"/>
                <w:szCs w:val="20"/>
                <w:lang w:val="ro-RO"/>
              </w:rPr>
              <w:t>Notable</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8,5-9,49</w:t>
            </w:r>
          </w:p>
          <w:p w:rsidR="00904678" w:rsidRPr="001900FD" w:rsidRDefault="00904678" w:rsidP="00A55EF1">
            <w:pPr>
              <w:jc w:val="center"/>
              <w:rPr>
                <w:sz w:val="20"/>
                <w:szCs w:val="20"/>
                <w:lang w:val="ro-RO"/>
              </w:rPr>
            </w:pPr>
            <w:r w:rsidRPr="001900FD">
              <w:rPr>
                <w:sz w:val="20"/>
                <w:szCs w:val="20"/>
                <w:lang w:val="ro-RO"/>
              </w:rPr>
              <w:t>Sobresaliente</w:t>
            </w:r>
          </w:p>
          <w:p w:rsidR="00904678" w:rsidRPr="001900FD" w:rsidRDefault="00904678" w:rsidP="00A55EF1">
            <w:pPr>
              <w:jc w:val="center"/>
              <w:rPr>
                <w:sz w:val="20"/>
                <w:szCs w:val="20"/>
                <w:lang w:val="ro-RO"/>
              </w:rPr>
            </w:pPr>
            <w:r w:rsidRPr="001900FD">
              <w:rPr>
                <w:sz w:val="20"/>
                <w:szCs w:val="20"/>
                <w:lang w:val="ro-RO"/>
              </w:rPr>
              <w:t>Excellent</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9,5-10</w:t>
            </w:r>
          </w:p>
          <w:p w:rsidR="00904678" w:rsidRPr="001900FD" w:rsidRDefault="00904678" w:rsidP="00A55EF1">
            <w:pPr>
              <w:jc w:val="center"/>
              <w:rPr>
                <w:sz w:val="20"/>
                <w:szCs w:val="20"/>
                <w:lang w:val="ro-RO"/>
              </w:rPr>
            </w:pPr>
            <w:r w:rsidRPr="001900FD">
              <w:rPr>
                <w:sz w:val="20"/>
                <w:szCs w:val="20"/>
                <w:lang w:val="ro-RO"/>
              </w:rPr>
              <w:t>Matricula de Honor</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Statele Unite ale Americii</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E-F/0-59</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D/60-65</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-/66-72</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C/73-79</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B/80-86</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A-/87-93</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A/94-100</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Ungaria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1,00-1,99</w:t>
            </w:r>
          </w:p>
          <w:p w:rsidR="00904678" w:rsidRPr="001900FD" w:rsidRDefault="00904678" w:rsidP="00A55EF1">
            <w:pPr>
              <w:jc w:val="center"/>
              <w:rPr>
                <w:sz w:val="20"/>
                <w:szCs w:val="20"/>
                <w:lang w:val="ro-RO"/>
              </w:rPr>
            </w:pPr>
            <w:r w:rsidRPr="001900FD">
              <w:rPr>
                <w:sz w:val="20"/>
                <w:szCs w:val="20"/>
                <w:lang w:val="ro-RO"/>
              </w:rPr>
              <w:t>elegtelen</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w:t>
            </w: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2,00-2,50</w:t>
            </w:r>
          </w:p>
          <w:p w:rsidR="00904678" w:rsidRPr="001900FD" w:rsidRDefault="00904678" w:rsidP="00A55EF1">
            <w:pPr>
              <w:jc w:val="center"/>
              <w:rPr>
                <w:sz w:val="20"/>
                <w:szCs w:val="20"/>
                <w:lang w:val="ro-RO"/>
              </w:rPr>
            </w:pPr>
            <w:r w:rsidRPr="001900FD">
              <w:rPr>
                <w:sz w:val="20"/>
                <w:szCs w:val="20"/>
                <w:lang w:val="ro-RO"/>
              </w:rPr>
              <w:t>elegseges</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2,51-3,50</w:t>
            </w:r>
          </w:p>
          <w:p w:rsidR="00904678" w:rsidRPr="001900FD" w:rsidRDefault="00904678" w:rsidP="00A55EF1">
            <w:pPr>
              <w:jc w:val="center"/>
              <w:rPr>
                <w:sz w:val="20"/>
                <w:szCs w:val="20"/>
                <w:lang w:val="ro-RO"/>
              </w:rPr>
            </w:pPr>
            <w:r w:rsidRPr="001900FD">
              <w:rPr>
                <w:sz w:val="20"/>
                <w:szCs w:val="20"/>
                <w:lang w:val="ro-RO"/>
              </w:rPr>
              <w:t>kozepes</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3,51-4,50</w:t>
            </w:r>
          </w:p>
          <w:p w:rsidR="00904678" w:rsidRPr="001900FD" w:rsidRDefault="00904678" w:rsidP="00A55EF1">
            <w:pPr>
              <w:jc w:val="center"/>
              <w:rPr>
                <w:sz w:val="20"/>
                <w:szCs w:val="20"/>
                <w:lang w:val="ro-RO"/>
              </w:rPr>
            </w:pPr>
            <w:r w:rsidRPr="001900FD">
              <w:rPr>
                <w:sz w:val="20"/>
                <w:szCs w:val="20"/>
                <w:lang w:val="ro-RO"/>
              </w:rPr>
              <w:t>jo</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4,51-5,00</w:t>
            </w:r>
          </w:p>
          <w:p w:rsidR="00904678" w:rsidRPr="001900FD" w:rsidRDefault="00904678" w:rsidP="00A55EF1">
            <w:pPr>
              <w:jc w:val="center"/>
              <w:rPr>
                <w:sz w:val="20"/>
                <w:szCs w:val="20"/>
                <w:lang w:val="ro-RO"/>
              </w:rPr>
            </w:pPr>
            <w:r w:rsidRPr="001900FD">
              <w:rPr>
                <w:sz w:val="20"/>
                <w:szCs w:val="20"/>
                <w:lang w:val="ro-RO"/>
              </w:rPr>
              <w:t>jeles, kivalo</w:t>
            </w:r>
          </w:p>
        </w:tc>
      </w:tr>
      <w:tr w:rsidR="00765D12" w:rsidRPr="001900FD" w:rsidTr="00765D12">
        <w:trPr>
          <w:jc w:val="center"/>
        </w:trPr>
        <w:tc>
          <w:tcPr>
            <w:tcW w:w="1556" w:type="dxa"/>
            <w:vAlign w:val="center"/>
          </w:tcPr>
          <w:p w:rsidR="00904678" w:rsidRPr="001900FD" w:rsidRDefault="00904678" w:rsidP="00A55EF1">
            <w:pPr>
              <w:jc w:val="center"/>
              <w:rPr>
                <w:b/>
                <w:sz w:val="20"/>
                <w:szCs w:val="20"/>
                <w:lang w:val="ro-RO"/>
              </w:rPr>
            </w:pPr>
            <w:r w:rsidRPr="001900FD">
              <w:rPr>
                <w:b/>
                <w:sz w:val="20"/>
                <w:szCs w:val="20"/>
                <w:lang w:val="ro-RO"/>
              </w:rPr>
              <w:t>Turcia</w:t>
            </w:r>
          </w:p>
        </w:tc>
        <w:tc>
          <w:tcPr>
            <w:tcW w:w="1445" w:type="dxa"/>
            <w:vAlign w:val="center"/>
          </w:tcPr>
          <w:p w:rsidR="00904678" w:rsidRPr="001900FD" w:rsidRDefault="00904678" w:rsidP="00A55EF1">
            <w:pPr>
              <w:jc w:val="center"/>
              <w:rPr>
                <w:sz w:val="20"/>
                <w:szCs w:val="20"/>
                <w:lang w:val="ro-RO"/>
              </w:rPr>
            </w:pPr>
            <w:r w:rsidRPr="001900FD">
              <w:rPr>
                <w:sz w:val="20"/>
                <w:szCs w:val="20"/>
                <w:lang w:val="ro-RO"/>
              </w:rPr>
              <w:t>1-4</w:t>
            </w:r>
          </w:p>
          <w:p w:rsidR="00904678" w:rsidRPr="001900FD" w:rsidRDefault="00904678" w:rsidP="00A55EF1">
            <w:pPr>
              <w:jc w:val="center"/>
              <w:rPr>
                <w:sz w:val="20"/>
                <w:szCs w:val="20"/>
                <w:lang w:val="ro-RO"/>
              </w:rPr>
            </w:pPr>
            <w:r w:rsidRPr="001900FD">
              <w:rPr>
                <w:sz w:val="20"/>
                <w:szCs w:val="20"/>
                <w:lang w:val="ro-RO"/>
              </w:rPr>
              <w:t>Noksan/Pek Noksan</w:t>
            </w:r>
          </w:p>
        </w:tc>
        <w:tc>
          <w:tcPr>
            <w:tcW w:w="1276" w:type="dxa"/>
            <w:vAlign w:val="center"/>
          </w:tcPr>
          <w:p w:rsidR="00904678" w:rsidRPr="001900FD" w:rsidRDefault="00904678" w:rsidP="00A55EF1">
            <w:pPr>
              <w:jc w:val="center"/>
              <w:rPr>
                <w:sz w:val="20"/>
                <w:szCs w:val="20"/>
                <w:lang w:val="ro-RO"/>
              </w:rPr>
            </w:pPr>
            <w:r w:rsidRPr="001900FD">
              <w:rPr>
                <w:sz w:val="20"/>
                <w:szCs w:val="20"/>
                <w:lang w:val="ro-RO"/>
              </w:rPr>
              <w:t>4,5-4,99</w:t>
            </w:r>
          </w:p>
          <w:p w:rsidR="00904678" w:rsidRPr="001900FD" w:rsidRDefault="00904678" w:rsidP="00A55EF1">
            <w:pPr>
              <w:jc w:val="center"/>
              <w:rPr>
                <w:sz w:val="20"/>
                <w:szCs w:val="20"/>
                <w:lang w:val="ro-RO"/>
              </w:rPr>
            </w:pPr>
          </w:p>
        </w:tc>
        <w:tc>
          <w:tcPr>
            <w:tcW w:w="1417" w:type="dxa"/>
            <w:vAlign w:val="center"/>
          </w:tcPr>
          <w:p w:rsidR="00904678" w:rsidRPr="001900FD" w:rsidRDefault="00904678" w:rsidP="00A55EF1">
            <w:pPr>
              <w:jc w:val="center"/>
              <w:rPr>
                <w:sz w:val="20"/>
                <w:szCs w:val="20"/>
                <w:lang w:val="ro-RO"/>
              </w:rPr>
            </w:pPr>
            <w:r w:rsidRPr="001900FD">
              <w:rPr>
                <w:sz w:val="20"/>
                <w:szCs w:val="20"/>
                <w:lang w:val="ro-RO"/>
              </w:rPr>
              <w:t>5,00-6,49</w:t>
            </w:r>
          </w:p>
          <w:p w:rsidR="00904678" w:rsidRPr="001900FD" w:rsidRDefault="00904678" w:rsidP="00A55EF1">
            <w:pPr>
              <w:jc w:val="center"/>
              <w:rPr>
                <w:sz w:val="20"/>
                <w:szCs w:val="20"/>
                <w:lang w:val="ro-RO"/>
              </w:rPr>
            </w:pPr>
            <w:r w:rsidRPr="001900FD">
              <w:rPr>
                <w:sz w:val="20"/>
                <w:szCs w:val="20"/>
                <w:lang w:val="ro-RO"/>
              </w:rPr>
              <w:t>Orta</w:t>
            </w:r>
          </w:p>
        </w:tc>
        <w:tc>
          <w:tcPr>
            <w:tcW w:w="1100" w:type="dxa"/>
            <w:vAlign w:val="center"/>
          </w:tcPr>
          <w:p w:rsidR="00904678" w:rsidRPr="001900FD" w:rsidRDefault="00904678" w:rsidP="00A55EF1">
            <w:pPr>
              <w:jc w:val="center"/>
              <w:rPr>
                <w:sz w:val="20"/>
                <w:szCs w:val="20"/>
                <w:lang w:val="ro-RO"/>
              </w:rPr>
            </w:pPr>
            <w:r w:rsidRPr="001900FD">
              <w:rPr>
                <w:sz w:val="20"/>
                <w:szCs w:val="20"/>
                <w:lang w:val="ro-RO"/>
              </w:rPr>
              <w:t>6,5-6,99</w:t>
            </w:r>
          </w:p>
          <w:p w:rsidR="00904678" w:rsidRPr="001900FD" w:rsidRDefault="00904678" w:rsidP="00A55EF1">
            <w:pPr>
              <w:jc w:val="center"/>
              <w:rPr>
                <w:sz w:val="20"/>
                <w:szCs w:val="20"/>
                <w:lang w:val="ro-RO"/>
              </w:rPr>
            </w:pPr>
            <w:r w:rsidRPr="001900FD">
              <w:rPr>
                <w:sz w:val="20"/>
                <w:szCs w:val="20"/>
                <w:lang w:val="ro-RO"/>
              </w:rPr>
              <w:t>Orta</w:t>
            </w:r>
          </w:p>
        </w:tc>
        <w:tc>
          <w:tcPr>
            <w:tcW w:w="1188" w:type="dxa"/>
            <w:vAlign w:val="center"/>
          </w:tcPr>
          <w:p w:rsidR="00904678" w:rsidRPr="001900FD" w:rsidRDefault="00904678" w:rsidP="00A55EF1">
            <w:pPr>
              <w:jc w:val="center"/>
              <w:rPr>
                <w:sz w:val="20"/>
                <w:szCs w:val="20"/>
                <w:lang w:val="ro-RO"/>
              </w:rPr>
            </w:pPr>
            <w:r w:rsidRPr="001900FD">
              <w:rPr>
                <w:sz w:val="20"/>
                <w:szCs w:val="20"/>
                <w:lang w:val="ro-RO"/>
              </w:rPr>
              <w:t>7,00-7,99</w:t>
            </w:r>
          </w:p>
          <w:p w:rsidR="00904678" w:rsidRPr="001900FD" w:rsidRDefault="00904678" w:rsidP="00A55EF1">
            <w:pPr>
              <w:jc w:val="center"/>
              <w:rPr>
                <w:sz w:val="20"/>
                <w:szCs w:val="20"/>
                <w:lang w:val="ro-RO"/>
              </w:rPr>
            </w:pPr>
            <w:r w:rsidRPr="001900FD">
              <w:rPr>
                <w:sz w:val="20"/>
                <w:szCs w:val="20"/>
                <w:lang w:val="ro-RO"/>
              </w:rPr>
              <w:t>Lyi</w:t>
            </w:r>
          </w:p>
        </w:tc>
        <w:tc>
          <w:tcPr>
            <w:tcW w:w="1560" w:type="dxa"/>
            <w:vAlign w:val="center"/>
          </w:tcPr>
          <w:p w:rsidR="00904678" w:rsidRPr="001900FD" w:rsidRDefault="00904678" w:rsidP="00A55EF1">
            <w:pPr>
              <w:jc w:val="center"/>
              <w:rPr>
                <w:sz w:val="20"/>
                <w:szCs w:val="20"/>
                <w:lang w:val="ro-RO"/>
              </w:rPr>
            </w:pPr>
            <w:r w:rsidRPr="001900FD">
              <w:rPr>
                <w:sz w:val="20"/>
                <w:szCs w:val="20"/>
                <w:lang w:val="ro-RO"/>
              </w:rPr>
              <w:t>8,00-8,99</w:t>
            </w:r>
          </w:p>
          <w:p w:rsidR="00904678" w:rsidRPr="001900FD" w:rsidRDefault="00904678" w:rsidP="00A55EF1">
            <w:pPr>
              <w:jc w:val="center"/>
              <w:rPr>
                <w:sz w:val="20"/>
                <w:szCs w:val="20"/>
                <w:lang w:val="ro-RO"/>
              </w:rPr>
            </w:pPr>
            <w:r w:rsidRPr="001900FD">
              <w:rPr>
                <w:sz w:val="20"/>
                <w:szCs w:val="20"/>
                <w:lang w:val="ro-RO"/>
              </w:rPr>
              <w:t>Lyi</w:t>
            </w:r>
          </w:p>
        </w:tc>
        <w:tc>
          <w:tcPr>
            <w:tcW w:w="1134" w:type="dxa"/>
            <w:vAlign w:val="center"/>
          </w:tcPr>
          <w:p w:rsidR="00904678" w:rsidRPr="001900FD" w:rsidRDefault="00904678" w:rsidP="00A55EF1">
            <w:pPr>
              <w:jc w:val="center"/>
              <w:rPr>
                <w:sz w:val="20"/>
                <w:szCs w:val="20"/>
                <w:lang w:val="ro-RO"/>
              </w:rPr>
            </w:pPr>
            <w:r w:rsidRPr="001900FD">
              <w:rPr>
                <w:sz w:val="20"/>
                <w:szCs w:val="20"/>
                <w:lang w:val="ro-RO"/>
              </w:rPr>
              <w:t>9,0-10,0</w:t>
            </w:r>
          </w:p>
          <w:p w:rsidR="00904678" w:rsidRPr="001900FD" w:rsidRDefault="00904678" w:rsidP="00A55EF1">
            <w:pPr>
              <w:jc w:val="center"/>
              <w:rPr>
                <w:sz w:val="20"/>
                <w:szCs w:val="20"/>
                <w:lang w:val="ro-RO"/>
              </w:rPr>
            </w:pPr>
            <w:r w:rsidRPr="001900FD">
              <w:rPr>
                <w:sz w:val="20"/>
                <w:szCs w:val="20"/>
                <w:lang w:val="ro-RO"/>
              </w:rPr>
              <w:t>Pek iyi</w:t>
            </w:r>
          </w:p>
        </w:tc>
      </w:tr>
    </w:tbl>
    <w:p w:rsidR="00610CAE" w:rsidRPr="001900FD" w:rsidRDefault="0087454C" w:rsidP="00904678">
      <w:pPr>
        <w:rPr>
          <w:rFonts w:ascii="Times New Roman" w:hAnsi="Times New Roman" w:cs="Times New Roman"/>
          <w:sz w:val="24"/>
          <w:szCs w:val="24"/>
          <w:u w:val="single"/>
          <w:lang w:val="ro-RO"/>
        </w:rPr>
      </w:pPr>
      <w:r w:rsidRPr="001900FD">
        <w:rPr>
          <w:rFonts w:ascii="Times New Roman" w:hAnsi="Times New Roman" w:cs="Times New Roman"/>
          <w:sz w:val="24"/>
          <w:szCs w:val="24"/>
          <w:u w:val="single"/>
          <w:lang w:val="ro-RO"/>
        </w:rPr>
        <w:t>Notă:</w:t>
      </w:r>
    </w:p>
    <w:p w:rsidR="0087454C" w:rsidRPr="001900FD" w:rsidRDefault="0087454C" w:rsidP="001900FD">
      <w:pPr>
        <w:jc w:val="both"/>
        <w:rPr>
          <w:rFonts w:ascii="Times New Roman" w:hAnsi="Times New Roman" w:cs="Times New Roman"/>
          <w:sz w:val="24"/>
          <w:szCs w:val="24"/>
          <w:lang w:val="ro-RO"/>
        </w:rPr>
      </w:pPr>
      <w:r w:rsidRPr="001900FD">
        <w:rPr>
          <w:rFonts w:ascii="Times New Roman" w:hAnsi="Times New Roman" w:cs="Times New Roman"/>
          <w:sz w:val="24"/>
          <w:szCs w:val="24"/>
          <w:lang w:val="ro-RO"/>
        </w:rPr>
        <w:t>Pentru alte tări care nu sunt cuprinse în anexă, Comisi</w:t>
      </w:r>
      <w:r w:rsidR="009C124A" w:rsidRPr="001900FD">
        <w:rPr>
          <w:rFonts w:ascii="Times New Roman" w:hAnsi="Times New Roman" w:cs="Times New Roman"/>
          <w:sz w:val="24"/>
          <w:szCs w:val="24"/>
          <w:lang w:val="ro-RO"/>
        </w:rPr>
        <w:t>ile de Recunoaștere Academică vor</w:t>
      </w:r>
      <w:r w:rsidRPr="001900FD">
        <w:rPr>
          <w:rFonts w:ascii="Times New Roman" w:hAnsi="Times New Roman" w:cs="Times New Roman"/>
          <w:sz w:val="24"/>
          <w:szCs w:val="24"/>
          <w:lang w:val="ro-RO"/>
        </w:rPr>
        <w:t xml:space="preserve"> proceda</w:t>
      </w:r>
      <w:r w:rsidR="009C124A" w:rsidRPr="001900FD">
        <w:rPr>
          <w:rFonts w:ascii="Times New Roman" w:hAnsi="Times New Roman" w:cs="Times New Roman"/>
          <w:sz w:val="24"/>
          <w:szCs w:val="24"/>
          <w:lang w:val="ro-RO"/>
        </w:rPr>
        <w:t xml:space="preserve"> la echivalări în mod similar, în confor</w:t>
      </w:r>
      <w:r w:rsidRPr="001900FD">
        <w:rPr>
          <w:rFonts w:ascii="Times New Roman" w:hAnsi="Times New Roman" w:cs="Times New Roman"/>
          <w:sz w:val="24"/>
          <w:szCs w:val="24"/>
          <w:lang w:val="ro-RO"/>
        </w:rPr>
        <w:t>mita</w:t>
      </w:r>
      <w:r w:rsidR="009C124A" w:rsidRPr="001900FD">
        <w:rPr>
          <w:rFonts w:ascii="Times New Roman" w:hAnsi="Times New Roman" w:cs="Times New Roman"/>
          <w:sz w:val="24"/>
          <w:szCs w:val="24"/>
          <w:lang w:val="ro-RO"/>
        </w:rPr>
        <w:t>te cu sistemele de notare din ță</w:t>
      </w:r>
      <w:r w:rsidRPr="001900FD">
        <w:rPr>
          <w:rFonts w:ascii="Times New Roman" w:hAnsi="Times New Roman" w:cs="Times New Roman"/>
          <w:sz w:val="24"/>
          <w:szCs w:val="24"/>
          <w:lang w:val="ro-RO"/>
        </w:rPr>
        <w:t>rile respective.</w:t>
      </w:r>
    </w:p>
    <w:sectPr w:rsidR="0087454C" w:rsidRPr="001900FD" w:rsidSect="009F1A30">
      <w:footerReference w:type="default" r:id="rId10"/>
      <w:pgSz w:w="12240" w:h="15840"/>
      <w:pgMar w:top="1440" w:right="1440" w:bottom="1440" w:left="1418"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1E" w:rsidRDefault="00E96D1E" w:rsidP="00D629DB">
      <w:r>
        <w:separator/>
      </w:r>
    </w:p>
  </w:endnote>
  <w:endnote w:type="continuationSeparator" w:id="0">
    <w:p w:rsidR="00E96D1E" w:rsidRDefault="00E96D1E" w:rsidP="00D6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09" w:rsidRDefault="00100E09">
    <w:pPr>
      <w:pStyle w:val="Footer"/>
      <w:jc w:val="center"/>
    </w:pPr>
  </w:p>
  <w:p w:rsidR="00100E09" w:rsidRDefault="00100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354083"/>
      <w:docPartObj>
        <w:docPartGallery w:val="Page Numbers (Bottom of Page)"/>
        <w:docPartUnique/>
      </w:docPartObj>
    </w:sdtPr>
    <w:sdtEndPr>
      <w:rPr>
        <w:noProof/>
      </w:rPr>
    </w:sdtEndPr>
    <w:sdtContent>
      <w:p w:rsidR="00100E09" w:rsidRDefault="00100E09">
        <w:pPr>
          <w:pStyle w:val="Footer"/>
          <w:jc w:val="center"/>
        </w:pPr>
        <w:r>
          <w:fldChar w:fldCharType="begin"/>
        </w:r>
        <w:r>
          <w:instrText xml:space="preserve"> PAGE   \* MERGEFORMAT </w:instrText>
        </w:r>
        <w:r>
          <w:fldChar w:fldCharType="separate"/>
        </w:r>
        <w:r w:rsidR="00F35A16">
          <w:rPr>
            <w:noProof/>
          </w:rPr>
          <w:t>5</w:t>
        </w:r>
        <w:r>
          <w:rPr>
            <w:noProof/>
          </w:rPr>
          <w:fldChar w:fldCharType="end"/>
        </w:r>
      </w:p>
    </w:sdtContent>
  </w:sdt>
  <w:p w:rsidR="00100E09" w:rsidRDefault="00100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1E" w:rsidRDefault="00E96D1E" w:rsidP="00D629DB">
      <w:r>
        <w:separator/>
      </w:r>
    </w:p>
  </w:footnote>
  <w:footnote w:type="continuationSeparator" w:id="0">
    <w:p w:rsidR="00E96D1E" w:rsidRDefault="00E96D1E" w:rsidP="00D62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7371"/>
    </w:tblGrid>
    <w:tr w:rsidR="00100E09" w:rsidTr="0057259C">
      <w:trPr>
        <w:trHeight w:val="1003"/>
      </w:trPr>
      <w:tc>
        <w:tcPr>
          <w:tcW w:w="1701" w:type="dxa"/>
          <w:vMerge w:val="restart"/>
          <w:tcBorders>
            <w:top w:val="nil"/>
            <w:left w:val="nil"/>
            <w:bottom w:val="nil"/>
            <w:right w:val="nil"/>
          </w:tcBorders>
          <w:shd w:val="clear" w:color="auto" w:fill="auto"/>
          <w:tcMar>
            <w:top w:w="80" w:type="dxa"/>
            <w:left w:w="80" w:type="dxa"/>
            <w:bottom w:w="80" w:type="dxa"/>
            <w:right w:w="80" w:type="dxa"/>
          </w:tcMar>
        </w:tcPr>
        <w:p w:rsidR="00100E09" w:rsidRDefault="00100E09" w:rsidP="00D629DB">
          <w:pPr>
            <w:spacing w:line="360" w:lineRule="auto"/>
            <w:jc w:val="both"/>
          </w:pPr>
          <w:r>
            <w:rPr>
              <w:noProof/>
            </w:rPr>
            <w:drawing>
              <wp:inline distT="0" distB="0" distL="0" distR="0">
                <wp:extent cx="876300" cy="876300"/>
                <wp:effectExtent l="0" t="0" r="0" b="0"/>
                <wp:docPr id="2" name="Picture 2" descr="ANTET CABINET RECTO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ABINET RECTOR 20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7371" w:type="dxa"/>
          <w:tcBorders>
            <w:top w:val="nil"/>
            <w:left w:val="nil"/>
            <w:bottom w:val="single" w:sz="4" w:space="0" w:color="1F497D"/>
            <w:right w:val="nil"/>
          </w:tcBorders>
          <w:shd w:val="clear" w:color="auto" w:fill="auto"/>
          <w:tcMar>
            <w:top w:w="80" w:type="dxa"/>
            <w:left w:w="80" w:type="dxa"/>
            <w:bottom w:w="80" w:type="dxa"/>
            <w:right w:w="80" w:type="dxa"/>
          </w:tcMar>
        </w:tcPr>
        <w:p w:rsidR="00100E09" w:rsidRPr="00D629DB" w:rsidRDefault="00100E09" w:rsidP="00D629DB">
          <w:pPr>
            <w:pStyle w:val="Heading1"/>
            <w:spacing w:before="60" w:after="60"/>
            <w:jc w:val="center"/>
            <w:rPr>
              <w:b/>
              <w:bCs/>
              <w:color w:val="1F497D"/>
              <w:sz w:val="22"/>
              <w:szCs w:val="22"/>
              <w:u w:color="1F497D"/>
            </w:rPr>
          </w:pPr>
          <w:r w:rsidRPr="00D629DB">
            <w:rPr>
              <w:b/>
              <w:bCs/>
              <w:color w:val="1F497D"/>
              <w:sz w:val="22"/>
              <w:szCs w:val="22"/>
              <w:u w:color="1F497D"/>
            </w:rPr>
            <w:t>MINISTERUL EDUCAŢIEI ȘI CERCETĂRII</w:t>
          </w:r>
        </w:p>
        <w:p w:rsidR="00100E09" w:rsidRDefault="00100E09" w:rsidP="00D629DB">
          <w:pPr>
            <w:pStyle w:val="Heading1"/>
            <w:spacing w:before="60" w:after="60"/>
            <w:jc w:val="center"/>
          </w:pPr>
          <w:proofErr w:type="spellStart"/>
          <w:r w:rsidRPr="00D629DB">
            <w:rPr>
              <w:b/>
              <w:bCs/>
              <w:color w:val="1F497D"/>
              <w:sz w:val="28"/>
              <w:szCs w:val="28"/>
              <w:u w:color="1F497D"/>
            </w:rPr>
            <w:t>Universitatea</w:t>
          </w:r>
          <w:proofErr w:type="spellEnd"/>
          <w:r w:rsidRPr="00D629DB">
            <w:rPr>
              <w:b/>
              <w:bCs/>
              <w:color w:val="1F497D"/>
              <w:sz w:val="28"/>
              <w:szCs w:val="28"/>
              <w:u w:color="1F497D"/>
            </w:rPr>
            <w:t xml:space="preserve"> POLITEHNICA din </w:t>
          </w:r>
          <w:proofErr w:type="spellStart"/>
          <w:r w:rsidRPr="00D629DB">
            <w:rPr>
              <w:b/>
              <w:bCs/>
              <w:color w:val="1F497D"/>
              <w:sz w:val="28"/>
              <w:szCs w:val="28"/>
              <w:u w:color="1F497D"/>
            </w:rPr>
            <w:t>Bucureşti</w:t>
          </w:r>
          <w:proofErr w:type="spellEnd"/>
        </w:p>
      </w:tc>
    </w:tr>
    <w:tr w:rsidR="00100E09" w:rsidTr="0057259C">
      <w:trPr>
        <w:trHeight w:val="323"/>
      </w:trPr>
      <w:tc>
        <w:tcPr>
          <w:tcW w:w="1701" w:type="dxa"/>
          <w:vMerge/>
          <w:tcBorders>
            <w:top w:val="nil"/>
            <w:left w:val="nil"/>
            <w:bottom w:val="nil"/>
            <w:right w:val="nil"/>
          </w:tcBorders>
          <w:shd w:val="clear" w:color="auto" w:fill="auto"/>
        </w:tcPr>
        <w:p w:rsidR="00100E09" w:rsidRDefault="00100E09" w:rsidP="00D629DB"/>
      </w:tc>
      <w:tc>
        <w:tcPr>
          <w:tcW w:w="7371" w:type="dxa"/>
          <w:tcBorders>
            <w:top w:val="single" w:sz="4" w:space="0" w:color="1F497D"/>
            <w:left w:val="nil"/>
            <w:bottom w:val="nil"/>
            <w:right w:val="nil"/>
          </w:tcBorders>
          <w:shd w:val="clear" w:color="auto" w:fill="auto"/>
          <w:tcMar>
            <w:top w:w="80" w:type="dxa"/>
            <w:left w:w="80" w:type="dxa"/>
            <w:bottom w:w="80" w:type="dxa"/>
            <w:right w:w="80" w:type="dxa"/>
          </w:tcMar>
        </w:tcPr>
        <w:p w:rsidR="00100E09" w:rsidRDefault="00100E09" w:rsidP="00D629DB"/>
      </w:tc>
    </w:tr>
  </w:tbl>
  <w:p w:rsidR="00100E09" w:rsidRDefault="00100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BE2"/>
    <w:multiLevelType w:val="hybridMultilevel"/>
    <w:tmpl w:val="82406D52"/>
    <w:lvl w:ilvl="0" w:tplc="0418000F">
      <w:start w:val="1"/>
      <w:numFmt w:val="decimal"/>
      <w:lvlText w:val="%1."/>
      <w:lvlJc w:val="left"/>
      <w:pPr>
        <w:ind w:left="-120" w:hanging="360"/>
      </w:pPr>
      <w:rPr>
        <w:rFonts w:hint="default"/>
      </w:rPr>
    </w:lvl>
    <w:lvl w:ilvl="1" w:tplc="04180019" w:tentative="1">
      <w:start w:val="1"/>
      <w:numFmt w:val="lowerLetter"/>
      <w:lvlText w:val="%2."/>
      <w:lvlJc w:val="left"/>
      <w:pPr>
        <w:ind w:left="600" w:hanging="360"/>
      </w:pPr>
    </w:lvl>
    <w:lvl w:ilvl="2" w:tplc="0418001B" w:tentative="1">
      <w:start w:val="1"/>
      <w:numFmt w:val="lowerRoman"/>
      <w:lvlText w:val="%3."/>
      <w:lvlJc w:val="right"/>
      <w:pPr>
        <w:ind w:left="1320" w:hanging="180"/>
      </w:pPr>
    </w:lvl>
    <w:lvl w:ilvl="3" w:tplc="0418000F" w:tentative="1">
      <w:start w:val="1"/>
      <w:numFmt w:val="decimal"/>
      <w:lvlText w:val="%4."/>
      <w:lvlJc w:val="left"/>
      <w:pPr>
        <w:ind w:left="2040" w:hanging="360"/>
      </w:pPr>
    </w:lvl>
    <w:lvl w:ilvl="4" w:tplc="04180019" w:tentative="1">
      <w:start w:val="1"/>
      <w:numFmt w:val="lowerLetter"/>
      <w:lvlText w:val="%5."/>
      <w:lvlJc w:val="left"/>
      <w:pPr>
        <w:ind w:left="2760" w:hanging="360"/>
      </w:pPr>
    </w:lvl>
    <w:lvl w:ilvl="5" w:tplc="0418001B" w:tentative="1">
      <w:start w:val="1"/>
      <w:numFmt w:val="lowerRoman"/>
      <w:lvlText w:val="%6."/>
      <w:lvlJc w:val="right"/>
      <w:pPr>
        <w:ind w:left="3480" w:hanging="180"/>
      </w:pPr>
    </w:lvl>
    <w:lvl w:ilvl="6" w:tplc="0418000F" w:tentative="1">
      <w:start w:val="1"/>
      <w:numFmt w:val="decimal"/>
      <w:lvlText w:val="%7."/>
      <w:lvlJc w:val="left"/>
      <w:pPr>
        <w:ind w:left="4200" w:hanging="360"/>
      </w:pPr>
    </w:lvl>
    <w:lvl w:ilvl="7" w:tplc="04180019" w:tentative="1">
      <w:start w:val="1"/>
      <w:numFmt w:val="lowerLetter"/>
      <w:lvlText w:val="%8."/>
      <w:lvlJc w:val="left"/>
      <w:pPr>
        <w:ind w:left="4920" w:hanging="360"/>
      </w:pPr>
    </w:lvl>
    <w:lvl w:ilvl="8" w:tplc="0418001B" w:tentative="1">
      <w:start w:val="1"/>
      <w:numFmt w:val="lowerRoman"/>
      <w:lvlText w:val="%9."/>
      <w:lvlJc w:val="right"/>
      <w:pPr>
        <w:ind w:left="5640" w:hanging="180"/>
      </w:pPr>
    </w:lvl>
  </w:abstractNum>
  <w:abstractNum w:abstractNumId="1">
    <w:nsid w:val="062853D4"/>
    <w:multiLevelType w:val="hybridMultilevel"/>
    <w:tmpl w:val="80A0ECF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nsid w:val="11396F3B"/>
    <w:multiLevelType w:val="hybridMultilevel"/>
    <w:tmpl w:val="132E46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900B2A"/>
    <w:multiLevelType w:val="hybridMultilevel"/>
    <w:tmpl w:val="7A9888BE"/>
    <w:lvl w:ilvl="0" w:tplc="9AC0200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8F47802"/>
    <w:multiLevelType w:val="hybridMultilevel"/>
    <w:tmpl w:val="69486526"/>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nsid w:val="1C3A1B73"/>
    <w:multiLevelType w:val="hybridMultilevel"/>
    <w:tmpl w:val="E6E22794"/>
    <w:lvl w:ilvl="0" w:tplc="BFBAF956">
      <w:start w:val="1"/>
      <w:numFmt w:val="upperRoman"/>
      <w:lvlText w:val="%1."/>
      <w:lvlJc w:val="left"/>
      <w:pPr>
        <w:ind w:left="1080" w:hanging="720"/>
      </w:pPr>
      <w:rPr>
        <w:rFonts w:hint="default"/>
      </w:rPr>
    </w:lvl>
    <w:lvl w:ilvl="1" w:tplc="3326CA32">
      <w:numFmt w:val="bullet"/>
      <w:lvlText w:val="•"/>
      <w:lvlJc w:val="left"/>
      <w:pPr>
        <w:ind w:left="1500" w:hanging="420"/>
      </w:pPr>
      <w:rPr>
        <w:rFonts w:ascii="Times New Roman" w:eastAsia="Arial" w:hAnsi="Times New Roman" w:cs="Times New Roman" w:hint="default"/>
      </w:rPr>
    </w:lvl>
    <w:lvl w:ilvl="2" w:tplc="B40A59C8">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E364754"/>
    <w:multiLevelType w:val="hybridMultilevel"/>
    <w:tmpl w:val="485EA948"/>
    <w:lvl w:ilvl="0" w:tplc="CEC4A94C">
      <w:numFmt w:val="bullet"/>
      <w:lvlText w:val="•"/>
      <w:lvlJc w:val="left"/>
      <w:pPr>
        <w:ind w:left="113" w:hanging="180"/>
      </w:pPr>
      <w:rPr>
        <w:rFonts w:hint="default"/>
        <w:w w:val="102"/>
      </w:rPr>
    </w:lvl>
    <w:lvl w:ilvl="1" w:tplc="6A3AA642">
      <w:start w:val="2"/>
      <w:numFmt w:val="decimal"/>
      <w:lvlText w:val="(%2)"/>
      <w:lvlJc w:val="left"/>
      <w:pPr>
        <w:ind w:left="117" w:hanging="356"/>
      </w:pPr>
      <w:rPr>
        <w:rFonts w:ascii="Times New Roman" w:eastAsia="Times New Roman" w:hAnsi="Times New Roman" w:cs="Times New Roman" w:hint="default"/>
        <w:color w:val="424242"/>
        <w:spacing w:val="0"/>
        <w:w w:val="92"/>
        <w:sz w:val="24"/>
        <w:szCs w:val="24"/>
      </w:rPr>
    </w:lvl>
    <w:lvl w:ilvl="2" w:tplc="E222D684">
      <w:start w:val="1"/>
      <w:numFmt w:val="lowerLetter"/>
      <w:lvlText w:val="%3)"/>
      <w:lvlJc w:val="left"/>
      <w:pPr>
        <w:ind w:left="1743" w:hanging="230"/>
      </w:pPr>
      <w:rPr>
        <w:rFonts w:hint="default"/>
        <w:spacing w:val="-8"/>
        <w:w w:val="99"/>
      </w:rPr>
    </w:lvl>
    <w:lvl w:ilvl="3" w:tplc="1534D4A6">
      <w:numFmt w:val="bullet"/>
      <w:lvlText w:val="•"/>
      <w:lvlJc w:val="left"/>
      <w:pPr>
        <w:ind w:left="3540" w:hanging="230"/>
      </w:pPr>
      <w:rPr>
        <w:rFonts w:hint="default"/>
      </w:rPr>
    </w:lvl>
    <w:lvl w:ilvl="4" w:tplc="71F076E6">
      <w:numFmt w:val="bullet"/>
      <w:lvlText w:val="•"/>
      <w:lvlJc w:val="left"/>
      <w:pPr>
        <w:ind w:left="4441" w:hanging="230"/>
      </w:pPr>
      <w:rPr>
        <w:rFonts w:hint="default"/>
      </w:rPr>
    </w:lvl>
    <w:lvl w:ilvl="5" w:tplc="F1223FD4">
      <w:numFmt w:val="bullet"/>
      <w:lvlText w:val="•"/>
      <w:lvlJc w:val="left"/>
      <w:pPr>
        <w:ind w:left="5341" w:hanging="230"/>
      </w:pPr>
      <w:rPr>
        <w:rFonts w:hint="default"/>
      </w:rPr>
    </w:lvl>
    <w:lvl w:ilvl="6" w:tplc="F356D716">
      <w:numFmt w:val="bullet"/>
      <w:lvlText w:val="•"/>
      <w:lvlJc w:val="left"/>
      <w:pPr>
        <w:ind w:left="6241" w:hanging="230"/>
      </w:pPr>
      <w:rPr>
        <w:rFonts w:hint="default"/>
      </w:rPr>
    </w:lvl>
    <w:lvl w:ilvl="7" w:tplc="1AC8C7BE">
      <w:numFmt w:val="bullet"/>
      <w:lvlText w:val="•"/>
      <w:lvlJc w:val="left"/>
      <w:pPr>
        <w:ind w:left="7142" w:hanging="230"/>
      </w:pPr>
      <w:rPr>
        <w:rFonts w:hint="default"/>
      </w:rPr>
    </w:lvl>
    <w:lvl w:ilvl="8" w:tplc="40F8DDC2">
      <w:numFmt w:val="bullet"/>
      <w:lvlText w:val="•"/>
      <w:lvlJc w:val="left"/>
      <w:pPr>
        <w:ind w:left="8042" w:hanging="230"/>
      </w:pPr>
      <w:rPr>
        <w:rFonts w:hint="default"/>
      </w:rPr>
    </w:lvl>
  </w:abstractNum>
  <w:abstractNum w:abstractNumId="7">
    <w:nsid w:val="252B1AB1"/>
    <w:multiLevelType w:val="hybridMultilevel"/>
    <w:tmpl w:val="7394919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2B4241C2"/>
    <w:multiLevelType w:val="hybridMultilevel"/>
    <w:tmpl w:val="54C20FC2"/>
    <w:lvl w:ilvl="0" w:tplc="7F1852A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2F0A5DFD"/>
    <w:multiLevelType w:val="hybridMultilevel"/>
    <w:tmpl w:val="0136D730"/>
    <w:lvl w:ilvl="0" w:tplc="F078B04A">
      <w:start w:val="1"/>
      <w:numFmt w:val="lowerLetter"/>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2FAD4CEE"/>
    <w:multiLevelType w:val="hybridMultilevel"/>
    <w:tmpl w:val="881C1556"/>
    <w:lvl w:ilvl="0" w:tplc="08090017">
      <w:start w:val="1"/>
      <w:numFmt w:val="lowerLetter"/>
      <w:lvlText w:val="%1)"/>
      <w:lvlJc w:val="left"/>
      <w:pPr>
        <w:ind w:left="1068" w:hanging="360"/>
      </w:pPr>
    </w:lvl>
    <w:lvl w:ilvl="1" w:tplc="E9AAB4BA">
      <w:start w:val="1"/>
      <w:numFmt w:val="lowerLetter"/>
      <w:lvlText w:val="%2)"/>
      <w:lvlJc w:val="left"/>
      <w:pPr>
        <w:ind w:left="1803" w:hanging="375"/>
      </w:pPr>
      <w:rPr>
        <w:rFonts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nsid w:val="3262284E"/>
    <w:multiLevelType w:val="hybridMultilevel"/>
    <w:tmpl w:val="6D6A1C08"/>
    <w:lvl w:ilvl="0" w:tplc="36B6494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27612EA"/>
    <w:multiLevelType w:val="hybridMultilevel"/>
    <w:tmpl w:val="B3D0B3A0"/>
    <w:lvl w:ilvl="0" w:tplc="77DCA150">
      <w:start w:val="2"/>
      <w:numFmt w:val="decimal"/>
      <w:lvlText w:val="(%1)"/>
      <w:lvlJc w:val="left"/>
      <w:pPr>
        <w:ind w:left="127" w:hanging="360"/>
      </w:pPr>
      <w:rPr>
        <w:rFonts w:ascii="Times New Roman" w:eastAsia="Times New Roman" w:hAnsi="Times New Roman" w:cs="Times New Roman" w:hint="default"/>
        <w:color w:val="424242"/>
        <w:spacing w:val="-1"/>
        <w:w w:val="95"/>
        <w:sz w:val="24"/>
        <w:szCs w:val="24"/>
      </w:rPr>
    </w:lvl>
    <w:lvl w:ilvl="1" w:tplc="14D6C95C">
      <w:start w:val="1"/>
      <w:numFmt w:val="lowerLetter"/>
      <w:lvlText w:val="%2)"/>
      <w:lvlJc w:val="left"/>
      <w:pPr>
        <w:ind w:left="128" w:hanging="390"/>
      </w:pPr>
      <w:rPr>
        <w:rFonts w:hint="default"/>
        <w:spacing w:val="-5"/>
        <w:w w:val="95"/>
      </w:rPr>
    </w:lvl>
    <w:lvl w:ilvl="2" w:tplc="4BBE164C">
      <w:numFmt w:val="bullet"/>
      <w:lvlText w:val="•"/>
      <w:lvlJc w:val="left"/>
      <w:pPr>
        <w:ind w:left="2072" w:hanging="390"/>
      </w:pPr>
      <w:rPr>
        <w:rFonts w:hint="default"/>
      </w:rPr>
    </w:lvl>
    <w:lvl w:ilvl="3" w:tplc="A40CE480">
      <w:numFmt w:val="bullet"/>
      <w:lvlText w:val="•"/>
      <w:lvlJc w:val="left"/>
      <w:pPr>
        <w:ind w:left="3048" w:hanging="390"/>
      </w:pPr>
      <w:rPr>
        <w:rFonts w:hint="default"/>
      </w:rPr>
    </w:lvl>
    <w:lvl w:ilvl="4" w:tplc="C9426378">
      <w:numFmt w:val="bullet"/>
      <w:lvlText w:val="•"/>
      <w:lvlJc w:val="left"/>
      <w:pPr>
        <w:ind w:left="4025" w:hanging="390"/>
      </w:pPr>
      <w:rPr>
        <w:rFonts w:hint="default"/>
      </w:rPr>
    </w:lvl>
    <w:lvl w:ilvl="5" w:tplc="5C245AFE">
      <w:numFmt w:val="bullet"/>
      <w:lvlText w:val="•"/>
      <w:lvlJc w:val="left"/>
      <w:pPr>
        <w:ind w:left="5001" w:hanging="390"/>
      </w:pPr>
      <w:rPr>
        <w:rFonts w:hint="default"/>
      </w:rPr>
    </w:lvl>
    <w:lvl w:ilvl="6" w:tplc="2C064FC2">
      <w:numFmt w:val="bullet"/>
      <w:lvlText w:val="•"/>
      <w:lvlJc w:val="left"/>
      <w:pPr>
        <w:ind w:left="5977" w:hanging="390"/>
      </w:pPr>
      <w:rPr>
        <w:rFonts w:hint="default"/>
      </w:rPr>
    </w:lvl>
    <w:lvl w:ilvl="7" w:tplc="5678AB2E">
      <w:numFmt w:val="bullet"/>
      <w:lvlText w:val="•"/>
      <w:lvlJc w:val="left"/>
      <w:pPr>
        <w:ind w:left="6954" w:hanging="390"/>
      </w:pPr>
      <w:rPr>
        <w:rFonts w:hint="default"/>
      </w:rPr>
    </w:lvl>
    <w:lvl w:ilvl="8" w:tplc="9394206A">
      <w:numFmt w:val="bullet"/>
      <w:lvlText w:val="•"/>
      <w:lvlJc w:val="left"/>
      <w:pPr>
        <w:ind w:left="7930" w:hanging="390"/>
      </w:pPr>
      <w:rPr>
        <w:rFonts w:hint="default"/>
      </w:rPr>
    </w:lvl>
  </w:abstractNum>
  <w:abstractNum w:abstractNumId="13">
    <w:nsid w:val="35B052C0"/>
    <w:multiLevelType w:val="hybridMultilevel"/>
    <w:tmpl w:val="482C14FE"/>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6727BD2"/>
    <w:multiLevelType w:val="hybridMultilevel"/>
    <w:tmpl w:val="FE629D8A"/>
    <w:lvl w:ilvl="0" w:tplc="08090001">
      <w:start w:val="1"/>
      <w:numFmt w:val="bullet"/>
      <w:lvlText w:val=""/>
      <w:lvlJc w:val="left"/>
      <w:pPr>
        <w:ind w:left="1080" w:hanging="720"/>
      </w:pPr>
      <w:rPr>
        <w:rFonts w:ascii="Symbol" w:hAnsi="Symbol" w:hint="default"/>
      </w:rPr>
    </w:lvl>
    <w:lvl w:ilvl="1" w:tplc="3326CA32">
      <w:numFmt w:val="bullet"/>
      <w:lvlText w:val="•"/>
      <w:lvlJc w:val="left"/>
      <w:pPr>
        <w:ind w:left="1500" w:hanging="42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7795DDF"/>
    <w:multiLevelType w:val="hybridMultilevel"/>
    <w:tmpl w:val="193EB3FA"/>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nsid w:val="37C07770"/>
    <w:multiLevelType w:val="hybridMultilevel"/>
    <w:tmpl w:val="B9744C5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3B7240B8"/>
    <w:multiLevelType w:val="hybridMultilevel"/>
    <w:tmpl w:val="F3BC3DC0"/>
    <w:lvl w:ilvl="0" w:tplc="9EF6B05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1657C49"/>
    <w:multiLevelType w:val="hybridMultilevel"/>
    <w:tmpl w:val="4BB6FE6E"/>
    <w:lvl w:ilvl="0" w:tplc="6CA0C2C2">
      <w:start w:val="1"/>
      <w:numFmt w:val="lowerLetter"/>
      <w:lvlText w:val="%1)"/>
      <w:lvlJc w:val="left"/>
      <w:pPr>
        <w:tabs>
          <w:tab w:val="num" w:pos="1068"/>
        </w:tabs>
        <w:ind w:left="1068" w:hanging="360"/>
      </w:pPr>
      <w:rPr>
        <w:rFonts w:ascii="Times New Roman" w:eastAsia="Times New Roman" w:hAnsi="Times New Roman" w:cs="Times New Roman"/>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9">
    <w:nsid w:val="43415C40"/>
    <w:multiLevelType w:val="hybridMultilevel"/>
    <w:tmpl w:val="21C04A20"/>
    <w:lvl w:ilvl="0" w:tplc="19B200F0">
      <w:start w:val="1"/>
      <w:numFmt w:val="decimal"/>
      <w:lvlText w:val="%1."/>
      <w:lvlJc w:val="left"/>
      <w:pPr>
        <w:ind w:left="1068" w:hanging="360"/>
      </w:pPr>
      <w:rPr>
        <w:rFonts w:ascii="Times New Roman" w:eastAsia="Arial" w:hAnsi="Times New Roman"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nsid w:val="43E43B06"/>
    <w:multiLevelType w:val="hybridMultilevel"/>
    <w:tmpl w:val="416069E6"/>
    <w:lvl w:ilvl="0" w:tplc="0809000B">
      <w:start w:val="1"/>
      <w:numFmt w:val="bullet"/>
      <w:lvlText w:val=""/>
      <w:lvlJc w:val="left"/>
      <w:pPr>
        <w:ind w:left="1080" w:hanging="720"/>
      </w:pPr>
      <w:rPr>
        <w:rFonts w:ascii="Wingdings" w:hAnsi="Wingdings" w:hint="default"/>
      </w:rPr>
    </w:lvl>
    <w:lvl w:ilvl="1" w:tplc="3326CA32">
      <w:numFmt w:val="bullet"/>
      <w:lvlText w:val="•"/>
      <w:lvlJc w:val="left"/>
      <w:pPr>
        <w:ind w:left="1500" w:hanging="42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8483380"/>
    <w:multiLevelType w:val="hybridMultilevel"/>
    <w:tmpl w:val="03DA1B88"/>
    <w:lvl w:ilvl="0" w:tplc="08090017">
      <w:start w:val="1"/>
      <w:numFmt w:val="lowerLetter"/>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nsid w:val="4C855CA7"/>
    <w:multiLevelType w:val="hybridMultilevel"/>
    <w:tmpl w:val="70747D12"/>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3">
    <w:nsid w:val="4FAF45A3"/>
    <w:multiLevelType w:val="hybridMultilevel"/>
    <w:tmpl w:val="A03491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A609A2"/>
    <w:multiLevelType w:val="hybridMultilevel"/>
    <w:tmpl w:val="11AA129E"/>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88114C8"/>
    <w:multiLevelType w:val="hybridMultilevel"/>
    <w:tmpl w:val="F5681A1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6">
    <w:nsid w:val="5DB77FBF"/>
    <w:multiLevelType w:val="hybridMultilevel"/>
    <w:tmpl w:val="56043C9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7D357C0"/>
    <w:multiLevelType w:val="hybridMultilevel"/>
    <w:tmpl w:val="382A2E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3C760A"/>
    <w:multiLevelType w:val="hybridMultilevel"/>
    <w:tmpl w:val="D3BE9D74"/>
    <w:lvl w:ilvl="0" w:tplc="64D0054E">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9">
    <w:nsid w:val="69FD5D90"/>
    <w:multiLevelType w:val="hybridMultilevel"/>
    <w:tmpl w:val="33048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E720CE"/>
    <w:multiLevelType w:val="hybridMultilevel"/>
    <w:tmpl w:val="7B0882B0"/>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nsid w:val="6D1A547F"/>
    <w:multiLevelType w:val="hybridMultilevel"/>
    <w:tmpl w:val="931C1310"/>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2">
    <w:nsid w:val="70327909"/>
    <w:multiLevelType w:val="hybridMultilevel"/>
    <w:tmpl w:val="4560C876"/>
    <w:lvl w:ilvl="0" w:tplc="FCFA9988">
      <w:start w:val="1"/>
      <w:numFmt w:val="upperRoman"/>
      <w:lvlText w:val="%1."/>
      <w:lvlJc w:val="left"/>
      <w:pPr>
        <w:ind w:left="484" w:hanging="358"/>
      </w:pPr>
      <w:rPr>
        <w:rFonts w:hint="default"/>
        <w:spacing w:val="-1"/>
        <w:w w:val="96"/>
      </w:rPr>
    </w:lvl>
    <w:lvl w:ilvl="1" w:tplc="9D403004">
      <w:start w:val="1"/>
      <w:numFmt w:val="upperRoman"/>
      <w:lvlText w:val="%2."/>
      <w:lvlJc w:val="left"/>
      <w:pPr>
        <w:ind w:left="3235" w:hanging="246"/>
        <w:jc w:val="right"/>
      </w:pPr>
      <w:rPr>
        <w:rFonts w:hint="default"/>
        <w:b/>
        <w:bCs/>
        <w:w w:val="99"/>
      </w:rPr>
    </w:lvl>
    <w:lvl w:ilvl="2" w:tplc="8CD44A48">
      <w:numFmt w:val="bullet"/>
      <w:lvlText w:val="•"/>
      <w:lvlJc w:val="left"/>
      <w:pPr>
        <w:ind w:left="3935" w:hanging="246"/>
      </w:pPr>
      <w:rPr>
        <w:rFonts w:hint="default"/>
      </w:rPr>
    </w:lvl>
    <w:lvl w:ilvl="3" w:tplc="3E824BB6">
      <w:numFmt w:val="bullet"/>
      <w:lvlText w:val="•"/>
      <w:lvlJc w:val="left"/>
      <w:pPr>
        <w:ind w:left="4631" w:hanging="246"/>
      </w:pPr>
      <w:rPr>
        <w:rFonts w:hint="default"/>
      </w:rPr>
    </w:lvl>
    <w:lvl w:ilvl="4" w:tplc="D6308626">
      <w:numFmt w:val="bullet"/>
      <w:lvlText w:val="•"/>
      <w:lvlJc w:val="left"/>
      <w:pPr>
        <w:ind w:left="5327" w:hanging="246"/>
      </w:pPr>
      <w:rPr>
        <w:rFonts w:hint="default"/>
      </w:rPr>
    </w:lvl>
    <w:lvl w:ilvl="5" w:tplc="D38EA69A">
      <w:numFmt w:val="bullet"/>
      <w:lvlText w:val="•"/>
      <w:lvlJc w:val="left"/>
      <w:pPr>
        <w:ind w:left="6023" w:hanging="246"/>
      </w:pPr>
      <w:rPr>
        <w:rFonts w:hint="default"/>
      </w:rPr>
    </w:lvl>
    <w:lvl w:ilvl="6" w:tplc="DA1E412C">
      <w:numFmt w:val="bullet"/>
      <w:lvlText w:val="•"/>
      <w:lvlJc w:val="left"/>
      <w:pPr>
        <w:ind w:left="6719" w:hanging="246"/>
      </w:pPr>
      <w:rPr>
        <w:rFonts w:hint="default"/>
      </w:rPr>
    </w:lvl>
    <w:lvl w:ilvl="7" w:tplc="987EC520">
      <w:numFmt w:val="bullet"/>
      <w:lvlText w:val="•"/>
      <w:lvlJc w:val="left"/>
      <w:pPr>
        <w:ind w:left="7415" w:hanging="246"/>
      </w:pPr>
      <w:rPr>
        <w:rFonts w:hint="default"/>
      </w:rPr>
    </w:lvl>
    <w:lvl w:ilvl="8" w:tplc="DEB43888">
      <w:numFmt w:val="bullet"/>
      <w:lvlText w:val="•"/>
      <w:lvlJc w:val="left"/>
      <w:pPr>
        <w:ind w:left="8111" w:hanging="246"/>
      </w:pPr>
      <w:rPr>
        <w:rFonts w:hint="default"/>
      </w:rPr>
    </w:lvl>
  </w:abstractNum>
  <w:abstractNum w:abstractNumId="33">
    <w:nsid w:val="72754EEF"/>
    <w:multiLevelType w:val="hybridMultilevel"/>
    <w:tmpl w:val="D3528A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8260D28"/>
    <w:multiLevelType w:val="hybridMultilevel"/>
    <w:tmpl w:val="E830F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9356F2"/>
    <w:multiLevelType w:val="hybridMultilevel"/>
    <w:tmpl w:val="93048C30"/>
    <w:lvl w:ilvl="0" w:tplc="C2280C5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nsid w:val="7DF325F6"/>
    <w:multiLevelType w:val="hybridMultilevel"/>
    <w:tmpl w:val="0B645526"/>
    <w:lvl w:ilvl="0" w:tplc="F556794C">
      <w:start w:val="2"/>
      <w:numFmt w:val="decimal"/>
      <w:lvlText w:val="(%1)"/>
      <w:lvlJc w:val="left"/>
      <w:pPr>
        <w:ind w:left="1303" w:hanging="366"/>
      </w:pPr>
      <w:rPr>
        <w:rFonts w:hint="default"/>
        <w:spacing w:val="-3"/>
        <w:w w:val="95"/>
      </w:rPr>
    </w:lvl>
    <w:lvl w:ilvl="1" w:tplc="C7965890">
      <w:start w:val="1"/>
      <w:numFmt w:val="lowerLetter"/>
      <w:lvlText w:val="%2)"/>
      <w:lvlJc w:val="left"/>
      <w:pPr>
        <w:ind w:left="122" w:hanging="338"/>
      </w:pPr>
      <w:rPr>
        <w:rFonts w:hint="default"/>
        <w:spacing w:val="-5"/>
        <w:w w:val="95"/>
      </w:rPr>
    </w:lvl>
    <w:lvl w:ilvl="2" w:tplc="FDE83456">
      <w:numFmt w:val="bullet"/>
      <w:lvlText w:val="•"/>
      <w:lvlJc w:val="left"/>
      <w:pPr>
        <w:ind w:left="2253" w:hanging="338"/>
      </w:pPr>
      <w:rPr>
        <w:rFonts w:hint="default"/>
      </w:rPr>
    </w:lvl>
    <w:lvl w:ilvl="3" w:tplc="2A684466">
      <w:numFmt w:val="bullet"/>
      <w:lvlText w:val="•"/>
      <w:lvlJc w:val="left"/>
      <w:pPr>
        <w:ind w:left="3207" w:hanging="338"/>
      </w:pPr>
      <w:rPr>
        <w:rFonts w:hint="default"/>
      </w:rPr>
    </w:lvl>
    <w:lvl w:ilvl="4" w:tplc="74042FA8">
      <w:numFmt w:val="bullet"/>
      <w:lvlText w:val="•"/>
      <w:lvlJc w:val="left"/>
      <w:pPr>
        <w:ind w:left="4161" w:hanging="338"/>
      </w:pPr>
      <w:rPr>
        <w:rFonts w:hint="default"/>
      </w:rPr>
    </w:lvl>
    <w:lvl w:ilvl="5" w:tplc="B352FC36">
      <w:numFmt w:val="bullet"/>
      <w:lvlText w:val="•"/>
      <w:lvlJc w:val="left"/>
      <w:pPr>
        <w:ind w:left="5114" w:hanging="338"/>
      </w:pPr>
      <w:rPr>
        <w:rFonts w:hint="default"/>
      </w:rPr>
    </w:lvl>
    <w:lvl w:ilvl="6" w:tplc="4B2086EC">
      <w:numFmt w:val="bullet"/>
      <w:lvlText w:val="•"/>
      <w:lvlJc w:val="left"/>
      <w:pPr>
        <w:ind w:left="6068" w:hanging="338"/>
      </w:pPr>
      <w:rPr>
        <w:rFonts w:hint="default"/>
      </w:rPr>
    </w:lvl>
    <w:lvl w:ilvl="7" w:tplc="7A4C3A54">
      <w:numFmt w:val="bullet"/>
      <w:lvlText w:val="•"/>
      <w:lvlJc w:val="left"/>
      <w:pPr>
        <w:ind w:left="7022" w:hanging="338"/>
      </w:pPr>
      <w:rPr>
        <w:rFonts w:hint="default"/>
      </w:rPr>
    </w:lvl>
    <w:lvl w:ilvl="8" w:tplc="013A7588">
      <w:numFmt w:val="bullet"/>
      <w:lvlText w:val="•"/>
      <w:lvlJc w:val="left"/>
      <w:pPr>
        <w:ind w:left="7975" w:hanging="338"/>
      </w:pPr>
      <w:rPr>
        <w:rFonts w:hint="default"/>
      </w:rPr>
    </w:lvl>
  </w:abstractNum>
  <w:num w:numId="1">
    <w:abstractNumId w:val="32"/>
  </w:num>
  <w:num w:numId="2">
    <w:abstractNumId w:val="0"/>
  </w:num>
  <w:num w:numId="3">
    <w:abstractNumId w:val="6"/>
  </w:num>
  <w:num w:numId="4">
    <w:abstractNumId w:val="12"/>
  </w:num>
  <w:num w:numId="5">
    <w:abstractNumId w:val="36"/>
  </w:num>
  <w:num w:numId="6">
    <w:abstractNumId w:val="26"/>
  </w:num>
  <w:num w:numId="7">
    <w:abstractNumId w:val="17"/>
  </w:num>
  <w:num w:numId="8">
    <w:abstractNumId w:val="33"/>
  </w:num>
  <w:num w:numId="9">
    <w:abstractNumId w:val="8"/>
  </w:num>
  <w:num w:numId="10">
    <w:abstractNumId w:val="28"/>
  </w:num>
  <w:num w:numId="11">
    <w:abstractNumId w:val="11"/>
  </w:num>
  <w:num w:numId="12">
    <w:abstractNumId w:val="5"/>
  </w:num>
  <w:num w:numId="13">
    <w:abstractNumId w:val="1"/>
  </w:num>
  <w:num w:numId="14">
    <w:abstractNumId w:val="14"/>
  </w:num>
  <w:num w:numId="15">
    <w:abstractNumId w:val="20"/>
  </w:num>
  <w:num w:numId="16">
    <w:abstractNumId w:val="21"/>
  </w:num>
  <w:num w:numId="17">
    <w:abstractNumId w:val="25"/>
  </w:num>
  <w:num w:numId="18">
    <w:abstractNumId w:val="23"/>
  </w:num>
  <w:num w:numId="19">
    <w:abstractNumId w:val="18"/>
  </w:num>
  <w:num w:numId="20">
    <w:abstractNumId w:val="29"/>
  </w:num>
  <w:num w:numId="21">
    <w:abstractNumId w:val="2"/>
  </w:num>
  <w:num w:numId="22">
    <w:abstractNumId w:val="27"/>
  </w:num>
  <w:num w:numId="23">
    <w:abstractNumId w:val="13"/>
  </w:num>
  <w:num w:numId="24">
    <w:abstractNumId w:val="24"/>
  </w:num>
  <w:num w:numId="25">
    <w:abstractNumId w:val="3"/>
  </w:num>
  <w:num w:numId="26">
    <w:abstractNumId w:val="9"/>
  </w:num>
  <w:num w:numId="27">
    <w:abstractNumId w:val="31"/>
  </w:num>
  <w:num w:numId="28">
    <w:abstractNumId w:val="4"/>
  </w:num>
  <w:num w:numId="29">
    <w:abstractNumId w:val="30"/>
  </w:num>
  <w:num w:numId="30">
    <w:abstractNumId w:val="10"/>
  </w:num>
  <w:num w:numId="31">
    <w:abstractNumId w:val="7"/>
  </w:num>
  <w:num w:numId="32">
    <w:abstractNumId w:val="15"/>
  </w:num>
  <w:num w:numId="33">
    <w:abstractNumId w:val="16"/>
  </w:num>
  <w:num w:numId="34">
    <w:abstractNumId w:val="22"/>
  </w:num>
  <w:num w:numId="35">
    <w:abstractNumId w:val="19"/>
  </w:num>
  <w:num w:numId="36">
    <w:abstractNumId w:val="3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5A70"/>
    <w:rsid w:val="00011E5D"/>
    <w:rsid w:val="00025C40"/>
    <w:rsid w:val="00026233"/>
    <w:rsid w:val="00027142"/>
    <w:rsid w:val="000331C3"/>
    <w:rsid w:val="0004184F"/>
    <w:rsid w:val="0006114A"/>
    <w:rsid w:val="000802F1"/>
    <w:rsid w:val="00090975"/>
    <w:rsid w:val="00090F96"/>
    <w:rsid w:val="00093A6F"/>
    <w:rsid w:val="00094009"/>
    <w:rsid w:val="000A0211"/>
    <w:rsid w:val="000A08FF"/>
    <w:rsid w:val="000A67FE"/>
    <w:rsid w:val="000C35B1"/>
    <w:rsid w:val="000D1FE6"/>
    <w:rsid w:val="000D25CB"/>
    <w:rsid w:val="000D7CE3"/>
    <w:rsid w:val="000E2FEB"/>
    <w:rsid w:val="00100E09"/>
    <w:rsid w:val="001411E4"/>
    <w:rsid w:val="001735B0"/>
    <w:rsid w:val="001805D9"/>
    <w:rsid w:val="00180DCB"/>
    <w:rsid w:val="00184DF2"/>
    <w:rsid w:val="001900FD"/>
    <w:rsid w:val="00192C4D"/>
    <w:rsid w:val="001949E2"/>
    <w:rsid w:val="001C3EDE"/>
    <w:rsid w:val="001C7322"/>
    <w:rsid w:val="001D334F"/>
    <w:rsid w:val="001D74B9"/>
    <w:rsid w:val="001E71E6"/>
    <w:rsid w:val="00204F6D"/>
    <w:rsid w:val="0022210A"/>
    <w:rsid w:val="00225D22"/>
    <w:rsid w:val="00233FE4"/>
    <w:rsid w:val="00260239"/>
    <w:rsid w:val="00260BF9"/>
    <w:rsid w:val="00266BB7"/>
    <w:rsid w:val="00281B38"/>
    <w:rsid w:val="002A6CE0"/>
    <w:rsid w:val="002A74E4"/>
    <w:rsid w:val="002B47B9"/>
    <w:rsid w:val="002C4148"/>
    <w:rsid w:val="002C67E1"/>
    <w:rsid w:val="002D09A4"/>
    <w:rsid w:val="002E10F9"/>
    <w:rsid w:val="002F3CEA"/>
    <w:rsid w:val="002F7092"/>
    <w:rsid w:val="00337E76"/>
    <w:rsid w:val="003836E2"/>
    <w:rsid w:val="003A4979"/>
    <w:rsid w:val="003C3C0F"/>
    <w:rsid w:val="003C7B97"/>
    <w:rsid w:val="003D6FB7"/>
    <w:rsid w:val="003E63B0"/>
    <w:rsid w:val="003F06F4"/>
    <w:rsid w:val="003F1244"/>
    <w:rsid w:val="003F35AF"/>
    <w:rsid w:val="004109F1"/>
    <w:rsid w:val="00424024"/>
    <w:rsid w:val="004279E6"/>
    <w:rsid w:val="00455A70"/>
    <w:rsid w:val="004641E3"/>
    <w:rsid w:val="00465002"/>
    <w:rsid w:val="00473B8C"/>
    <w:rsid w:val="00476568"/>
    <w:rsid w:val="00481A31"/>
    <w:rsid w:val="00481DE6"/>
    <w:rsid w:val="00487DAD"/>
    <w:rsid w:val="004941D9"/>
    <w:rsid w:val="004D624F"/>
    <w:rsid w:val="004E4FC3"/>
    <w:rsid w:val="005107C7"/>
    <w:rsid w:val="00510844"/>
    <w:rsid w:val="00516A21"/>
    <w:rsid w:val="00527CE0"/>
    <w:rsid w:val="0053052C"/>
    <w:rsid w:val="00553812"/>
    <w:rsid w:val="0057259C"/>
    <w:rsid w:val="00590EC0"/>
    <w:rsid w:val="005A24FB"/>
    <w:rsid w:val="005A4AA3"/>
    <w:rsid w:val="005A4F8E"/>
    <w:rsid w:val="005E0D5C"/>
    <w:rsid w:val="005F2AF8"/>
    <w:rsid w:val="00601955"/>
    <w:rsid w:val="00603FA6"/>
    <w:rsid w:val="00610933"/>
    <w:rsid w:val="00610CAE"/>
    <w:rsid w:val="006131A7"/>
    <w:rsid w:val="0062075E"/>
    <w:rsid w:val="006247CF"/>
    <w:rsid w:val="006303F4"/>
    <w:rsid w:val="006362F2"/>
    <w:rsid w:val="00657D3A"/>
    <w:rsid w:val="0066195E"/>
    <w:rsid w:val="00667F69"/>
    <w:rsid w:val="00694537"/>
    <w:rsid w:val="006A2C74"/>
    <w:rsid w:val="006A60F7"/>
    <w:rsid w:val="006C2498"/>
    <w:rsid w:val="006E098B"/>
    <w:rsid w:val="00706F8A"/>
    <w:rsid w:val="007079DE"/>
    <w:rsid w:val="00722B52"/>
    <w:rsid w:val="00732BD1"/>
    <w:rsid w:val="00740463"/>
    <w:rsid w:val="0074204C"/>
    <w:rsid w:val="00765D12"/>
    <w:rsid w:val="00773D31"/>
    <w:rsid w:val="007971D3"/>
    <w:rsid w:val="007A1E9A"/>
    <w:rsid w:val="007A3802"/>
    <w:rsid w:val="007B43C9"/>
    <w:rsid w:val="007C07C6"/>
    <w:rsid w:val="007C4CEE"/>
    <w:rsid w:val="007D7F6A"/>
    <w:rsid w:val="007F0D55"/>
    <w:rsid w:val="00803C77"/>
    <w:rsid w:val="008316A6"/>
    <w:rsid w:val="008350A8"/>
    <w:rsid w:val="00841C9F"/>
    <w:rsid w:val="008423D5"/>
    <w:rsid w:val="00862167"/>
    <w:rsid w:val="00872178"/>
    <w:rsid w:val="00873929"/>
    <w:rsid w:val="0087454C"/>
    <w:rsid w:val="0088236A"/>
    <w:rsid w:val="00892002"/>
    <w:rsid w:val="008B3488"/>
    <w:rsid w:val="008B4190"/>
    <w:rsid w:val="008C74AC"/>
    <w:rsid w:val="008E040C"/>
    <w:rsid w:val="008F6640"/>
    <w:rsid w:val="008F67EF"/>
    <w:rsid w:val="00904678"/>
    <w:rsid w:val="00913581"/>
    <w:rsid w:val="00935C20"/>
    <w:rsid w:val="009577D2"/>
    <w:rsid w:val="00972920"/>
    <w:rsid w:val="009772B8"/>
    <w:rsid w:val="00977332"/>
    <w:rsid w:val="00980882"/>
    <w:rsid w:val="00986598"/>
    <w:rsid w:val="00987D74"/>
    <w:rsid w:val="009B703C"/>
    <w:rsid w:val="009C124A"/>
    <w:rsid w:val="009C13F5"/>
    <w:rsid w:val="009C19CB"/>
    <w:rsid w:val="009C393F"/>
    <w:rsid w:val="009C7BD8"/>
    <w:rsid w:val="009D6F42"/>
    <w:rsid w:val="009E05DA"/>
    <w:rsid w:val="009F1A30"/>
    <w:rsid w:val="009F7F13"/>
    <w:rsid w:val="00A026A0"/>
    <w:rsid w:val="00A15376"/>
    <w:rsid w:val="00A46A7D"/>
    <w:rsid w:val="00A46D35"/>
    <w:rsid w:val="00A55EF1"/>
    <w:rsid w:val="00A57387"/>
    <w:rsid w:val="00A60AF2"/>
    <w:rsid w:val="00A672DB"/>
    <w:rsid w:val="00A75C47"/>
    <w:rsid w:val="00A80731"/>
    <w:rsid w:val="00A80AB9"/>
    <w:rsid w:val="00AA4179"/>
    <w:rsid w:val="00AA6855"/>
    <w:rsid w:val="00AB46B7"/>
    <w:rsid w:val="00AD457E"/>
    <w:rsid w:val="00AE7170"/>
    <w:rsid w:val="00AF1176"/>
    <w:rsid w:val="00AF4EE9"/>
    <w:rsid w:val="00B11313"/>
    <w:rsid w:val="00B430DF"/>
    <w:rsid w:val="00B6428E"/>
    <w:rsid w:val="00B81178"/>
    <w:rsid w:val="00B95C52"/>
    <w:rsid w:val="00BB383B"/>
    <w:rsid w:val="00BC15DE"/>
    <w:rsid w:val="00BD2CC6"/>
    <w:rsid w:val="00C356F1"/>
    <w:rsid w:val="00C952FD"/>
    <w:rsid w:val="00CA2DDE"/>
    <w:rsid w:val="00CB5D89"/>
    <w:rsid w:val="00CC49B5"/>
    <w:rsid w:val="00CF4EEC"/>
    <w:rsid w:val="00D07544"/>
    <w:rsid w:val="00D42CA5"/>
    <w:rsid w:val="00D45D21"/>
    <w:rsid w:val="00D4776E"/>
    <w:rsid w:val="00D50A55"/>
    <w:rsid w:val="00D629DB"/>
    <w:rsid w:val="00D83B5D"/>
    <w:rsid w:val="00D96718"/>
    <w:rsid w:val="00DA1D4D"/>
    <w:rsid w:val="00DA2C4F"/>
    <w:rsid w:val="00DB604D"/>
    <w:rsid w:val="00DE1D3F"/>
    <w:rsid w:val="00E12546"/>
    <w:rsid w:val="00E156B5"/>
    <w:rsid w:val="00E17353"/>
    <w:rsid w:val="00E25975"/>
    <w:rsid w:val="00E41653"/>
    <w:rsid w:val="00E772E5"/>
    <w:rsid w:val="00E80E1D"/>
    <w:rsid w:val="00E96D1E"/>
    <w:rsid w:val="00EC0B51"/>
    <w:rsid w:val="00EE2A83"/>
    <w:rsid w:val="00F034B8"/>
    <w:rsid w:val="00F1564F"/>
    <w:rsid w:val="00F23FE6"/>
    <w:rsid w:val="00F35A16"/>
    <w:rsid w:val="00F4583C"/>
    <w:rsid w:val="00F807B3"/>
    <w:rsid w:val="00F81A3B"/>
    <w:rsid w:val="00FA2797"/>
    <w:rsid w:val="00FB7B64"/>
    <w:rsid w:val="00FD459B"/>
    <w:rsid w:val="00FF1C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4F"/>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F156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64F"/>
    <w:rPr>
      <w:color w:val="0563C1" w:themeColor="hyperlink"/>
      <w:u w:val="single"/>
    </w:rPr>
  </w:style>
  <w:style w:type="character" w:customStyle="1" w:styleId="UnresolvedMention">
    <w:name w:val="Unresolved Mention"/>
    <w:basedOn w:val="DefaultParagraphFont"/>
    <w:uiPriority w:val="99"/>
    <w:semiHidden/>
    <w:unhideWhenUsed/>
    <w:rsid w:val="00F1564F"/>
    <w:rPr>
      <w:color w:val="605E5C"/>
      <w:shd w:val="clear" w:color="auto" w:fill="E1DFDD"/>
    </w:rPr>
  </w:style>
  <w:style w:type="character" w:customStyle="1" w:styleId="Heading1Char">
    <w:name w:val="Heading 1 Char"/>
    <w:basedOn w:val="DefaultParagraphFont"/>
    <w:link w:val="Heading1"/>
    <w:uiPriority w:val="9"/>
    <w:rsid w:val="00F1564F"/>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F1564F"/>
    <w:pPr>
      <w:widowControl/>
      <w:autoSpaceDE/>
      <w:autoSpaceDN/>
      <w:spacing w:line="259" w:lineRule="auto"/>
      <w:outlineLvl w:val="9"/>
    </w:pPr>
  </w:style>
  <w:style w:type="paragraph" w:styleId="ListParagraph">
    <w:name w:val="List Paragraph"/>
    <w:basedOn w:val="Normal"/>
    <w:uiPriority w:val="34"/>
    <w:qFormat/>
    <w:rsid w:val="00F1564F"/>
    <w:pPr>
      <w:ind w:left="720"/>
      <w:contextualSpacing/>
    </w:pPr>
  </w:style>
  <w:style w:type="paragraph" w:styleId="TOC1">
    <w:name w:val="toc 1"/>
    <w:basedOn w:val="Normal"/>
    <w:next w:val="Normal"/>
    <w:autoRedefine/>
    <w:uiPriority w:val="39"/>
    <w:semiHidden/>
    <w:unhideWhenUsed/>
    <w:rsid w:val="00F1564F"/>
    <w:pPr>
      <w:spacing w:after="100"/>
    </w:pPr>
  </w:style>
  <w:style w:type="paragraph" w:styleId="BodyText">
    <w:name w:val="Body Text"/>
    <w:basedOn w:val="Normal"/>
    <w:link w:val="BodyTextChar"/>
    <w:uiPriority w:val="1"/>
    <w:qFormat/>
    <w:rsid w:val="00706F8A"/>
    <w:rPr>
      <w:sz w:val="24"/>
      <w:szCs w:val="24"/>
    </w:rPr>
  </w:style>
  <w:style w:type="character" w:customStyle="1" w:styleId="BodyTextChar">
    <w:name w:val="Body Text Char"/>
    <w:basedOn w:val="DefaultParagraphFont"/>
    <w:link w:val="BodyText"/>
    <w:uiPriority w:val="1"/>
    <w:rsid w:val="00706F8A"/>
    <w:rPr>
      <w:rFonts w:ascii="Arial" w:eastAsia="Arial" w:hAnsi="Arial" w:cs="Arial"/>
      <w:sz w:val="24"/>
      <w:szCs w:val="24"/>
      <w:lang w:val="en-US"/>
    </w:rPr>
  </w:style>
  <w:style w:type="character" w:styleId="CommentReference">
    <w:name w:val="annotation reference"/>
    <w:basedOn w:val="DefaultParagraphFont"/>
    <w:semiHidden/>
    <w:rsid w:val="00D45D21"/>
    <w:rPr>
      <w:sz w:val="16"/>
      <w:szCs w:val="16"/>
    </w:rPr>
  </w:style>
  <w:style w:type="paragraph" w:styleId="CommentText">
    <w:name w:val="annotation text"/>
    <w:basedOn w:val="Normal"/>
    <w:link w:val="CommentTextChar"/>
    <w:semiHidden/>
    <w:rsid w:val="00D45D21"/>
    <w:pPr>
      <w:widowControl/>
      <w:autoSpaceDE/>
      <w:autoSpaceDN/>
    </w:pPr>
    <w:rPr>
      <w:rFonts w:ascii="Times New Roman" w:eastAsia="Times New Roman" w:hAnsi="Times New Roman" w:cs="Times New Roman"/>
      <w:noProof/>
      <w:sz w:val="20"/>
      <w:szCs w:val="20"/>
      <w:lang w:val="ro-RO"/>
    </w:rPr>
  </w:style>
  <w:style w:type="character" w:customStyle="1" w:styleId="CommentTextChar">
    <w:name w:val="Comment Text Char"/>
    <w:basedOn w:val="DefaultParagraphFont"/>
    <w:link w:val="CommentText"/>
    <w:semiHidden/>
    <w:rsid w:val="00D45D21"/>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2A7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E4"/>
    <w:rPr>
      <w:rFonts w:ascii="Segoe UI" w:eastAsia="Arial" w:hAnsi="Segoe UI" w:cs="Segoe UI"/>
      <w:sz w:val="18"/>
      <w:szCs w:val="18"/>
      <w:lang w:val="en-US"/>
    </w:rPr>
  </w:style>
  <w:style w:type="paragraph" w:styleId="Header">
    <w:name w:val="header"/>
    <w:basedOn w:val="Normal"/>
    <w:link w:val="HeaderChar"/>
    <w:uiPriority w:val="99"/>
    <w:unhideWhenUsed/>
    <w:rsid w:val="00D629DB"/>
    <w:pPr>
      <w:tabs>
        <w:tab w:val="center" w:pos="4513"/>
        <w:tab w:val="right" w:pos="9026"/>
      </w:tabs>
    </w:pPr>
  </w:style>
  <w:style w:type="character" w:customStyle="1" w:styleId="HeaderChar">
    <w:name w:val="Header Char"/>
    <w:basedOn w:val="DefaultParagraphFont"/>
    <w:link w:val="Header"/>
    <w:uiPriority w:val="99"/>
    <w:rsid w:val="00D629DB"/>
    <w:rPr>
      <w:rFonts w:ascii="Arial" w:eastAsia="Arial" w:hAnsi="Arial" w:cs="Arial"/>
      <w:lang w:val="en-US"/>
    </w:rPr>
  </w:style>
  <w:style w:type="paragraph" w:styleId="Footer">
    <w:name w:val="footer"/>
    <w:basedOn w:val="Normal"/>
    <w:link w:val="FooterChar"/>
    <w:uiPriority w:val="99"/>
    <w:unhideWhenUsed/>
    <w:rsid w:val="00D629DB"/>
    <w:pPr>
      <w:tabs>
        <w:tab w:val="center" w:pos="4513"/>
        <w:tab w:val="right" w:pos="9026"/>
      </w:tabs>
    </w:pPr>
  </w:style>
  <w:style w:type="character" w:customStyle="1" w:styleId="FooterChar">
    <w:name w:val="Footer Char"/>
    <w:basedOn w:val="DefaultParagraphFont"/>
    <w:link w:val="Footer"/>
    <w:uiPriority w:val="99"/>
    <w:rsid w:val="00D629DB"/>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4F"/>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F156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64F"/>
    <w:rPr>
      <w:color w:val="0563C1" w:themeColor="hyperlink"/>
      <w:u w:val="single"/>
    </w:rPr>
  </w:style>
  <w:style w:type="character" w:customStyle="1" w:styleId="UnresolvedMention">
    <w:name w:val="Unresolved Mention"/>
    <w:basedOn w:val="DefaultParagraphFont"/>
    <w:uiPriority w:val="99"/>
    <w:semiHidden/>
    <w:unhideWhenUsed/>
    <w:rsid w:val="00F1564F"/>
    <w:rPr>
      <w:color w:val="605E5C"/>
      <w:shd w:val="clear" w:color="auto" w:fill="E1DFDD"/>
    </w:rPr>
  </w:style>
  <w:style w:type="character" w:customStyle="1" w:styleId="Heading1Char">
    <w:name w:val="Heading 1 Char"/>
    <w:basedOn w:val="DefaultParagraphFont"/>
    <w:link w:val="Heading1"/>
    <w:uiPriority w:val="9"/>
    <w:rsid w:val="00F1564F"/>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F1564F"/>
    <w:pPr>
      <w:widowControl/>
      <w:autoSpaceDE/>
      <w:autoSpaceDN/>
      <w:spacing w:line="259" w:lineRule="auto"/>
      <w:outlineLvl w:val="9"/>
    </w:pPr>
  </w:style>
  <w:style w:type="paragraph" w:styleId="ListParagraph">
    <w:name w:val="List Paragraph"/>
    <w:basedOn w:val="Normal"/>
    <w:uiPriority w:val="34"/>
    <w:qFormat/>
    <w:rsid w:val="00F1564F"/>
    <w:pPr>
      <w:ind w:left="720"/>
      <w:contextualSpacing/>
    </w:pPr>
  </w:style>
  <w:style w:type="paragraph" w:styleId="TOC1">
    <w:name w:val="toc 1"/>
    <w:basedOn w:val="Normal"/>
    <w:next w:val="Normal"/>
    <w:autoRedefine/>
    <w:uiPriority w:val="39"/>
    <w:semiHidden/>
    <w:unhideWhenUsed/>
    <w:rsid w:val="00F1564F"/>
    <w:pPr>
      <w:spacing w:after="100"/>
    </w:pPr>
  </w:style>
  <w:style w:type="paragraph" w:styleId="BodyText">
    <w:name w:val="Body Text"/>
    <w:basedOn w:val="Normal"/>
    <w:link w:val="BodyTextChar"/>
    <w:uiPriority w:val="1"/>
    <w:qFormat/>
    <w:rsid w:val="00706F8A"/>
    <w:rPr>
      <w:sz w:val="24"/>
      <w:szCs w:val="24"/>
    </w:rPr>
  </w:style>
  <w:style w:type="character" w:customStyle="1" w:styleId="BodyTextChar">
    <w:name w:val="Body Text Char"/>
    <w:basedOn w:val="DefaultParagraphFont"/>
    <w:link w:val="BodyText"/>
    <w:uiPriority w:val="1"/>
    <w:rsid w:val="00706F8A"/>
    <w:rPr>
      <w:rFonts w:ascii="Arial" w:eastAsia="Arial" w:hAnsi="Arial" w:cs="Arial"/>
      <w:sz w:val="24"/>
      <w:szCs w:val="24"/>
      <w:lang w:val="en-US"/>
    </w:rPr>
  </w:style>
  <w:style w:type="character" w:styleId="CommentReference">
    <w:name w:val="annotation reference"/>
    <w:basedOn w:val="DefaultParagraphFont"/>
    <w:semiHidden/>
    <w:rsid w:val="00D45D21"/>
    <w:rPr>
      <w:sz w:val="16"/>
      <w:szCs w:val="16"/>
    </w:rPr>
  </w:style>
  <w:style w:type="paragraph" w:styleId="CommentText">
    <w:name w:val="annotation text"/>
    <w:basedOn w:val="Normal"/>
    <w:link w:val="CommentTextChar"/>
    <w:semiHidden/>
    <w:rsid w:val="00D45D21"/>
    <w:pPr>
      <w:widowControl/>
      <w:autoSpaceDE/>
      <w:autoSpaceDN/>
    </w:pPr>
    <w:rPr>
      <w:rFonts w:ascii="Times New Roman" w:eastAsia="Times New Roman" w:hAnsi="Times New Roman" w:cs="Times New Roman"/>
      <w:noProof/>
      <w:sz w:val="20"/>
      <w:szCs w:val="20"/>
      <w:lang w:val="ro-RO"/>
    </w:rPr>
  </w:style>
  <w:style w:type="character" w:customStyle="1" w:styleId="CommentTextChar">
    <w:name w:val="Comment Text Char"/>
    <w:basedOn w:val="DefaultParagraphFont"/>
    <w:link w:val="CommentText"/>
    <w:semiHidden/>
    <w:rsid w:val="00D45D21"/>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2A7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E4"/>
    <w:rPr>
      <w:rFonts w:ascii="Segoe UI" w:eastAsia="Arial" w:hAnsi="Segoe UI" w:cs="Segoe UI"/>
      <w:sz w:val="18"/>
      <w:szCs w:val="18"/>
      <w:lang w:val="en-US"/>
    </w:rPr>
  </w:style>
  <w:style w:type="paragraph" w:styleId="Header">
    <w:name w:val="header"/>
    <w:basedOn w:val="Normal"/>
    <w:link w:val="HeaderChar"/>
    <w:uiPriority w:val="99"/>
    <w:unhideWhenUsed/>
    <w:rsid w:val="00D629DB"/>
    <w:pPr>
      <w:tabs>
        <w:tab w:val="center" w:pos="4513"/>
        <w:tab w:val="right" w:pos="9026"/>
      </w:tabs>
    </w:pPr>
  </w:style>
  <w:style w:type="character" w:customStyle="1" w:styleId="HeaderChar">
    <w:name w:val="Header Char"/>
    <w:basedOn w:val="DefaultParagraphFont"/>
    <w:link w:val="Header"/>
    <w:uiPriority w:val="99"/>
    <w:rsid w:val="00D629DB"/>
    <w:rPr>
      <w:rFonts w:ascii="Arial" w:eastAsia="Arial" w:hAnsi="Arial" w:cs="Arial"/>
      <w:lang w:val="en-US"/>
    </w:rPr>
  </w:style>
  <w:style w:type="paragraph" w:styleId="Footer">
    <w:name w:val="footer"/>
    <w:basedOn w:val="Normal"/>
    <w:link w:val="FooterChar"/>
    <w:uiPriority w:val="99"/>
    <w:unhideWhenUsed/>
    <w:rsid w:val="00D629DB"/>
    <w:pPr>
      <w:tabs>
        <w:tab w:val="center" w:pos="4513"/>
        <w:tab w:val="right" w:pos="9026"/>
      </w:tabs>
    </w:pPr>
  </w:style>
  <w:style w:type="character" w:customStyle="1" w:styleId="FooterChar">
    <w:name w:val="Footer Char"/>
    <w:basedOn w:val="DefaultParagraphFont"/>
    <w:link w:val="Footer"/>
    <w:uiPriority w:val="99"/>
    <w:rsid w:val="00D629D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521">
      <w:bodyDiv w:val="1"/>
      <w:marLeft w:val="0"/>
      <w:marRight w:val="0"/>
      <w:marTop w:val="0"/>
      <w:marBottom w:val="0"/>
      <w:divBdr>
        <w:top w:val="none" w:sz="0" w:space="0" w:color="auto"/>
        <w:left w:val="none" w:sz="0" w:space="0" w:color="auto"/>
        <w:bottom w:val="none" w:sz="0" w:space="0" w:color="auto"/>
        <w:right w:val="none" w:sz="0" w:space="0" w:color="auto"/>
      </w:divBdr>
    </w:div>
    <w:div w:id="407197060">
      <w:bodyDiv w:val="1"/>
      <w:marLeft w:val="0"/>
      <w:marRight w:val="0"/>
      <w:marTop w:val="0"/>
      <w:marBottom w:val="0"/>
      <w:divBdr>
        <w:top w:val="none" w:sz="0" w:space="0" w:color="auto"/>
        <w:left w:val="none" w:sz="0" w:space="0" w:color="auto"/>
        <w:bottom w:val="none" w:sz="0" w:space="0" w:color="auto"/>
        <w:right w:val="none" w:sz="0" w:space="0" w:color="auto"/>
      </w:divBdr>
    </w:div>
    <w:div w:id="6541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5673</Words>
  <Characters>32339</Characters>
  <Application>Microsoft Office Word</Application>
  <DocSecurity>0</DocSecurity>
  <Lines>269</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Mihai</dc:creator>
  <cp:lastModifiedBy>Georgeta</cp:lastModifiedBy>
  <cp:revision>4</cp:revision>
  <cp:lastPrinted>2020-06-03T09:55:00Z</cp:lastPrinted>
  <dcterms:created xsi:type="dcterms:W3CDTF">2020-06-11T08:14:00Z</dcterms:created>
  <dcterms:modified xsi:type="dcterms:W3CDTF">2020-06-17T07:30:00Z</dcterms:modified>
</cp:coreProperties>
</file>